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C91F0" w14:textId="22878C7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 xml:space="preserve">Μηνιαίο Ενημερωτικό Τεύχος </w:t>
      </w:r>
    </w:p>
    <w:p w14:paraId="49A4D73F" w14:textId="77777777" w:rsidR="004E663D" w:rsidRPr="00D35058" w:rsidRDefault="004E663D" w:rsidP="001F48C8">
      <w:pPr>
        <w:spacing w:after="0" w:line="288" w:lineRule="auto"/>
        <w:ind w:right="43"/>
        <w:jc w:val="center"/>
        <w:rPr>
          <w:rFonts w:ascii="Times New Roman" w:hAnsi="Times New Roman" w:cs="Times New Roman"/>
          <w:b/>
          <w:sz w:val="44"/>
          <w:szCs w:val="44"/>
        </w:rPr>
      </w:pPr>
      <w:r w:rsidRPr="00D35058">
        <w:rPr>
          <w:rFonts w:ascii="Times New Roman" w:hAnsi="Times New Roman" w:cs="Times New Roman"/>
          <w:b/>
          <w:sz w:val="44"/>
          <w:szCs w:val="44"/>
        </w:rPr>
        <w:t>Κεντρικής Ένωσης Επιμελητηρίων Ελλάδος</w:t>
      </w:r>
    </w:p>
    <w:p w14:paraId="303CF88B" w14:textId="77777777" w:rsidR="004E663D" w:rsidRPr="00D35058"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D35058" w:rsidRDefault="004E663D" w:rsidP="001F48C8">
      <w:pPr>
        <w:spacing w:after="0" w:line="288" w:lineRule="auto"/>
        <w:ind w:right="43"/>
        <w:jc w:val="center"/>
        <w:rPr>
          <w:rFonts w:ascii="Times New Roman" w:hAnsi="Times New Roman" w:cs="Times New Roman"/>
          <w:b/>
          <w:sz w:val="24"/>
          <w:szCs w:val="24"/>
        </w:rPr>
      </w:pPr>
    </w:p>
    <w:p w14:paraId="4580E821" w14:textId="483F7797" w:rsidR="004E663D" w:rsidRPr="00D35058" w:rsidRDefault="006D4382"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Ιούνιος</w:t>
      </w:r>
      <w:r w:rsidR="000F266E" w:rsidRPr="00D35058">
        <w:rPr>
          <w:rFonts w:ascii="Times New Roman" w:hAnsi="Times New Roman" w:cs="Times New Roman"/>
          <w:b/>
          <w:sz w:val="32"/>
          <w:szCs w:val="32"/>
        </w:rPr>
        <w:t xml:space="preserve"> </w:t>
      </w:r>
      <w:r w:rsidR="004E663D" w:rsidRPr="00D35058">
        <w:rPr>
          <w:rFonts w:ascii="Times New Roman" w:hAnsi="Times New Roman" w:cs="Times New Roman"/>
          <w:b/>
          <w:sz w:val="32"/>
          <w:szCs w:val="32"/>
        </w:rPr>
        <w:t>202</w:t>
      </w:r>
      <w:r w:rsidR="007E35F2">
        <w:rPr>
          <w:rFonts w:ascii="Times New Roman" w:hAnsi="Times New Roman" w:cs="Times New Roman"/>
          <w:b/>
          <w:sz w:val="32"/>
          <w:szCs w:val="32"/>
        </w:rPr>
        <w:t>3</w:t>
      </w:r>
    </w:p>
    <w:p w14:paraId="040D43D8" w14:textId="0BF06E31" w:rsidR="00667BF1" w:rsidRPr="00D35058"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Default="004A6724" w:rsidP="001F48C8">
      <w:pPr>
        <w:spacing w:line="288" w:lineRule="auto"/>
        <w:rPr>
          <w:rFonts w:ascii="Times New Roman" w:hAnsi="Times New Roman" w:cs="Times New Roman"/>
          <w:bCs/>
          <w:sz w:val="24"/>
          <w:szCs w:val="24"/>
        </w:rPr>
      </w:pPr>
      <w:r>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3D7E2677" w:rsidR="008D455D" w:rsidRPr="0017646D" w:rsidRDefault="008D455D" w:rsidP="001F48C8">
          <w:pPr>
            <w:pStyle w:val="TOCHeading"/>
            <w:spacing w:before="0" w:line="288" w:lineRule="auto"/>
            <w:jc w:val="center"/>
            <w:rPr>
              <w:rFonts w:ascii="Times New Roman" w:hAnsi="Times New Roman" w:cs="Times New Roman"/>
              <w:b/>
              <w:bCs/>
              <w:color w:val="auto"/>
              <w:sz w:val="28"/>
              <w:szCs w:val="28"/>
              <w:u w:val="single"/>
            </w:rPr>
          </w:pPr>
          <w:r w:rsidRPr="0017646D">
            <w:rPr>
              <w:rFonts w:ascii="Times New Roman" w:hAnsi="Times New Roman" w:cs="Times New Roman"/>
              <w:b/>
              <w:bCs/>
              <w:color w:val="auto"/>
              <w:sz w:val="28"/>
              <w:szCs w:val="28"/>
              <w:u w:val="single"/>
            </w:rPr>
            <w:t>Πίνακας περιεχομένων</w:t>
          </w:r>
        </w:p>
        <w:p w14:paraId="50328A55" w14:textId="79578B0D" w:rsidR="00145730" w:rsidRDefault="008D455D">
          <w:pPr>
            <w:pStyle w:val="TOC1"/>
            <w:rPr>
              <w:rFonts w:asciiTheme="minorHAnsi" w:eastAsiaTheme="minorEastAsia" w:hAnsiTheme="minorHAnsi" w:cstheme="minorBidi"/>
              <w:b w:val="0"/>
              <w:bCs w:val="0"/>
              <w:kern w:val="2"/>
              <w:lang w:eastAsia="el-GR"/>
              <w14:ligatures w14:val="standardContextual"/>
            </w:rPr>
          </w:pPr>
          <w:r w:rsidRPr="00F55FBC">
            <w:rPr>
              <w:rFonts w:ascii="Times New Roman" w:hAnsi="Times New Roman" w:cs="Times New Roman"/>
              <w:sz w:val="24"/>
              <w:szCs w:val="24"/>
            </w:rPr>
            <w:fldChar w:fldCharType="begin"/>
          </w:r>
          <w:r w:rsidRPr="00F55FBC">
            <w:rPr>
              <w:rFonts w:ascii="Times New Roman" w:hAnsi="Times New Roman" w:cs="Times New Roman"/>
              <w:sz w:val="24"/>
              <w:szCs w:val="24"/>
            </w:rPr>
            <w:instrText xml:space="preserve"> TOC \o "1-3" \h \z \u </w:instrText>
          </w:r>
          <w:r w:rsidRPr="00F55FBC">
            <w:rPr>
              <w:rFonts w:ascii="Times New Roman" w:hAnsi="Times New Roman" w:cs="Times New Roman"/>
              <w:sz w:val="24"/>
              <w:szCs w:val="24"/>
            </w:rPr>
            <w:fldChar w:fldCharType="separate"/>
          </w:r>
          <w:hyperlink w:anchor="_Toc139885144" w:history="1">
            <w:r w:rsidR="00145730" w:rsidRPr="00F434A1">
              <w:rPr>
                <w:rStyle w:val="Hyperlink"/>
              </w:rPr>
              <w:t>1.</w:t>
            </w:r>
            <w:r w:rsidR="00145730">
              <w:rPr>
                <w:rFonts w:asciiTheme="minorHAnsi" w:eastAsiaTheme="minorEastAsia" w:hAnsiTheme="minorHAnsi" w:cstheme="minorBidi"/>
                <w:b w:val="0"/>
                <w:bCs w:val="0"/>
                <w:kern w:val="2"/>
                <w:lang w:eastAsia="el-GR"/>
                <w14:ligatures w14:val="standardContextual"/>
              </w:rPr>
              <w:tab/>
            </w:r>
            <w:r w:rsidR="00145730" w:rsidRPr="00F434A1">
              <w:rPr>
                <w:rStyle w:val="Hyperlink"/>
              </w:rPr>
              <w:t>ΘΕΜΑΤΑ ΑΝΑΠΤΥΞΙΑΚΩΝ – ΧΡΗΜΑΤΟΔΟΤΙΚΩΝ ΠΡΟΓΡΑΜΜΑΤΩΝ</w:t>
            </w:r>
            <w:r w:rsidR="00145730">
              <w:rPr>
                <w:webHidden/>
              </w:rPr>
              <w:tab/>
            </w:r>
            <w:r w:rsidR="00145730">
              <w:rPr>
                <w:webHidden/>
              </w:rPr>
              <w:fldChar w:fldCharType="begin"/>
            </w:r>
            <w:r w:rsidR="00145730">
              <w:rPr>
                <w:webHidden/>
              </w:rPr>
              <w:instrText xml:space="preserve"> PAGEREF _Toc139885144 \h </w:instrText>
            </w:r>
            <w:r w:rsidR="00145730">
              <w:rPr>
                <w:webHidden/>
              </w:rPr>
            </w:r>
            <w:r w:rsidR="00145730">
              <w:rPr>
                <w:webHidden/>
              </w:rPr>
              <w:fldChar w:fldCharType="separate"/>
            </w:r>
            <w:r w:rsidR="00145730">
              <w:rPr>
                <w:webHidden/>
              </w:rPr>
              <w:t>3</w:t>
            </w:r>
            <w:r w:rsidR="00145730">
              <w:rPr>
                <w:webHidden/>
              </w:rPr>
              <w:fldChar w:fldCharType="end"/>
            </w:r>
          </w:hyperlink>
        </w:p>
        <w:p w14:paraId="3DF1B2F3" w14:textId="36747714" w:rsidR="00145730" w:rsidRDefault="00145730">
          <w:pPr>
            <w:pStyle w:val="TOC2"/>
            <w:rPr>
              <w:rFonts w:asciiTheme="minorHAnsi" w:eastAsiaTheme="minorEastAsia" w:hAnsiTheme="minorHAnsi" w:cstheme="minorBidi"/>
              <w:bCs w:val="0"/>
              <w:kern w:val="2"/>
              <w:lang w:eastAsia="el-GR"/>
              <w14:ligatures w14:val="standardContextual"/>
            </w:rPr>
          </w:pPr>
          <w:hyperlink w:anchor="_Toc139885145" w:history="1">
            <w:r w:rsidRPr="00F434A1">
              <w:rPr>
                <w:rStyle w:val="Hyperlink"/>
                <w:rFonts w:ascii="Times New Roman" w:hAnsi="Times New Roman" w:cs="Times New Roman"/>
                <w:b/>
              </w:rPr>
              <w:t>Α. Καινοτομία και Πράσινη Μετάβαση στη Μεταποίηση Αγροτικών Προϊόντων 2</w:t>
            </w:r>
            <w:r w:rsidRPr="00F434A1">
              <w:rPr>
                <w:rStyle w:val="Hyperlink"/>
                <w:rFonts w:ascii="Times New Roman" w:hAnsi="Times New Roman" w:cs="Times New Roman"/>
                <w:b/>
                <w:vertAlign w:val="superscript"/>
              </w:rPr>
              <w:t>ος</w:t>
            </w:r>
            <w:r w:rsidRPr="00F434A1">
              <w:rPr>
                <w:rStyle w:val="Hyperlink"/>
                <w:rFonts w:ascii="Times New Roman" w:hAnsi="Times New Roman" w:cs="Times New Roman"/>
                <w:b/>
              </w:rPr>
              <w:t xml:space="preserve"> Κύκλος Υποβολών</w:t>
            </w:r>
            <w:r>
              <w:rPr>
                <w:webHidden/>
              </w:rPr>
              <w:tab/>
            </w:r>
            <w:r>
              <w:rPr>
                <w:webHidden/>
              </w:rPr>
              <w:fldChar w:fldCharType="begin"/>
            </w:r>
            <w:r>
              <w:rPr>
                <w:webHidden/>
              </w:rPr>
              <w:instrText xml:space="preserve"> PAGEREF _Toc139885145 \h </w:instrText>
            </w:r>
            <w:r>
              <w:rPr>
                <w:webHidden/>
              </w:rPr>
            </w:r>
            <w:r>
              <w:rPr>
                <w:webHidden/>
              </w:rPr>
              <w:fldChar w:fldCharType="separate"/>
            </w:r>
            <w:r>
              <w:rPr>
                <w:webHidden/>
              </w:rPr>
              <w:t>3</w:t>
            </w:r>
            <w:r>
              <w:rPr>
                <w:webHidden/>
              </w:rPr>
              <w:fldChar w:fldCharType="end"/>
            </w:r>
          </w:hyperlink>
        </w:p>
        <w:p w14:paraId="7C6AE678" w14:textId="6D307F49" w:rsidR="00145730" w:rsidRDefault="00145730">
          <w:pPr>
            <w:pStyle w:val="TOC2"/>
            <w:rPr>
              <w:rFonts w:asciiTheme="minorHAnsi" w:eastAsiaTheme="minorEastAsia" w:hAnsiTheme="minorHAnsi" w:cstheme="minorBidi"/>
              <w:bCs w:val="0"/>
              <w:kern w:val="2"/>
              <w:lang w:eastAsia="el-GR"/>
              <w14:ligatures w14:val="standardContextual"/>
            </w:rPr>
          </w:pPr>
          <w:hyperlink w:anchor="_Toc139885146" w:history="1">
            <w:r w:rsidRPr="00F434A1">
              <w:rPr>
                <w:rStyle w:val="Hyperlink"/>
                <w:rFonts w:ascii="Times New Roman" w:hAnsi="Times New Roman" w:cs="Times New Roman"/>
                <w:b/>
              </w:rPr>
              <w:t>Β. Προσκλήσεις Υποβολής Προτάσεων Έργων Προγράμματος Life Έτους 2023</w:t>
            </w:r>
            <w:r>
              <w:rPr>
                <w:webHidden/>
              </w:rPr>
              <w:tab/>
            </w:r>
            <w:r>
              <w:rPr>
                <w:webHidden/>
              </w:rPr>
              <w:fldChar w:fldCharType="begin"/>
            </w:r>
            <w:r>
              <w:rPr>
                <w:webHidden/>
              </w:rPr>
              <w:instrText xml:space="preserve"> PAGEREF _Toc139885146 \h </w:instrText>
            </w:r>
            <w:r>
              <w:rPr>
                <w:webHidden/>
              </w:rPr>
            </w:r>
            <w:r>
              <w:rPr>
                <w:webHidden/>
              </w:rPr>
              <w:fldChar w:fldCharType="separate"/>
            </w:r>
            <w:r>
              <w:rPr>
                <w:webHidden/>
              </w:rPr>
              <w:t>7</w:t>
            </w:r>
            <w:r>
              <w:rPr>
                <w:webHidden/>
              </w:rPr>
              <w:fldChar w:fldCharType="end"/>
            </w:r>
          </w:hyperlink>
        </w:p>
        <w:p w14:paraId="2C1893C3" w14:textId="7AF92BFA" w:rsidR="00145730" w:rsidRDefault="00145730">
          <w:pPr>
            <w:pStyle w:val="TOC2"/>
            <w:rPr>
              <w:rFonts w:asciiTheme="minorHAnsi" w:eastAsiaTheme="minorEastAsia" w:hAnsiTheme="minorHAnsi" w:cstheme="minorBidi"/>
              <w:bCs w:val="0"/>
              <w:kern w:val="2"/>
              <w:lang w:eastAsia="el-GR"/>
              <w14:ligatures w14:val="standardContextual"/>
            </w:rPr>
          </w:pPr>
          <w:hyperlink w:anchor="_Toc139885147" w:history="1">
            <w:r w:rsidRPr="00F434A1">
              <w:rPr>
                <w:rStyle w:val="Hyperlink"/>
                <w:rFonts w:ascii="Times New Roman" w:hAnsi="Times New Roman" w:cs="Times New Roman"/>
                <w:b/>
              </w:rPr>
              <w:t>Γ. Ενιαίοι κανόνες στην Ευρώπη για τα «Πράσινα Κτίρια» και τη Βιώσιμη Ανάπτυξη</w:t>
            </w:r>
            <w:r>
              <w:rPr>
                <w:webHidden/>
              </w:rPr>
              <w:tab/>
            </w:r>
            <w:r>
              <w:rPr>
                <w:webHidden/>
              </w:rPr>
              <w:fldChar w:fldCharType="begin"/>
            </w:r>
            <w:r>
              <w:rPr>
                <w:webHidden/>
              </w:rPr>
              <w:instrText xml:space="preserve"> PAGEREF _Toc139885147 \h </w:instrText>
            </w:r>
            <w:r>
              <w:rPr>
                <w:webHidden/>
              </w:rPr>
            </w:r>
            <w:r>
              <w:rPr>
                <w:webHidden/>
              </w:rPr>
              <w:fldChar w:fldCharType="separate"/>
            </w:r>
            <w:r>
              <w:rPr>
                <w:webHidden/>
              </w:rPr>
              <w:t>9</w:t>
            </w:r>
            <w:r>
              <w:rPr>
                <w:webHidden/>
              </w:rPr>
              <w:fldChar w:fldCharType="end"/>
            </w:r>
          </w:hyperlink>
        </w:p>
        <w:p w14:paraId="45E97795" w14:textId="5D813E5E" w:rsidR="00145730" w:rsidRDefault="00145730">
          <w:pPr>
            <w:pStyle w:val="TOC1"/>
            <w:rPr>
              <w:rFonts w:asciiTheme="minorHAnsi" w:eastAsiaTheme="minorEastAsia" w:hAnsiTheme="minorHAnsi" w:cstheme="minorBidi"/>
              <w:b w:val="0"/>
              <w:bCs w:val="0"/>
              <w:kern w:val="2"/>
              <w:lang w:eastAsia="el-GR"/>
              <w14:ligatures w14:val="standardContextual"/>
            </w:rPr>
          </w:pPr>
          <w:hyperlink w:anchor="_Toc139885148" w:history="1">
            <w:r w:rsidRPr="00F434A1">
              <w:rPr>
                <w:rStyle w:val="Hyperlink"/>
              </w:rPr>
              <w:t>2.</w:t>
            </w:r>
            <w:r>
              <w:rPr>
                <w:rFonts w:asciiTheme="minorHAnsi" w:eastAsiaTheme="minorEastAsia" w:hAnsiTheme="minorHAnsi" w:cstheme="minorBidi"/>
                <w:b w:val="0"/>
                <w:bCs w:val="0"/>
                <w:kern w:val="2"/>
                <w:lang w:eastAsia="el-GR"/>
                <w14:ligatures w14:val="standardContextual"/>
              </w:rPr>
              <w:tab/>
            </w:r>
            <w:r w:rsidRPr="00F434A1">
              <w:rPr>
                <w:rStyle w:val="Hyperlink"/>
              </w:rPr>
              <w:t>ΘΕΜΑΤΑ MARKETING, ΕΜΠΟΡΙΟΥ, ΕΠΙΧΕΙΡΗΜΑΤΙΚΟΤΗΤΑΣ, ΣΤΡΑΤΗΓΙΚΟΥ ΣΧΕΔΙΑΣΜΟΥ ΚΑΙ ΑΝΑΠΤΥΞΗΣ ΦΟΡΕΩΝ</w:t>
            </w:r>
            <w:r>
              <w:rPr>
                <w:webHidden/>
              </w:rPr>
              <w:tab/>
            </w:r>
            <w:r>
              <w:rPr>
                <w:webHidden/>
              </w:rPr>
              <w:fldChar w:fldCharType="begin"/>
            </w:r>
            <w:r>
              <w:rPr>
                <w:webHidden/>
              </w:rPr>
              <w:instrText xml:space="preserve"> PAGEREF _Toc139885148 \h </w:instrText>
            </w:r>
            <w:r>
              <w:rPr>
                <w:webHidden/>
              </w:rPr>
            </w:r>
            <w:r>
              <w:rPr>
                <w:webHidden/>
              </w:rPr>
              <w:fldChar w:fldCharType="separate"/>
            </w:r>
            <w:r>
              <w:rPr>
                <w:webHidden/>
              </w:rPr>
              <w:t>13</w:t>
            </w:r>
            <w:r>
              <w:rPr>
                <w:webHidden/>
              </w:rPr>
              <w:fldChar w:fldCharType="end"/>
            </w:r>
          </w:hyperlink>
        </w:p>
        <w:p w14:paraId="289D5D81" w14:textId="4FBF09BF" w:rsidR="00145730" w:rsidRDefault="00145730">
          <w:pPr>
            <w:pStyle w:val="TOC2"/>
            <w:rPr>
              <w:rFonts w:asciiTheme="minorHAnsi" w:eastAsiaTheme="minorEastAsia" w:hAnsiTheme="minorHAnsi" w:cstheme="minorBidi"/>
              <w:bCs w:val="0"/>
              <w:kern w:val="2"/>
              <w:lang w:eastAsia="el-GR"/>
              <w14:ligatures w14:val="standardContextual"/>
            </w:rPr>
          </w:pPr>
          <w:hyperlink w:anchor="_Toc139885149" w:history="1">
            <w:r w:rsidRPr="00F434A1">
              <w:rPr>
                <w:rStyle w:val="Hyperlink"/>
                <w:rFonts w:ascii="Times New Roman" w:hAnsi="Times New Roman" w:cs="Times New Roman"/>
                <w:b/>
              </w:rPr>
              <w:t>Α. ΠΡΟΩΘΗΣΗ ή αλλιώς το ένα από τα 4P του MARKETING (PROMOTION)</w:t>
            </w:r>
            <w:r>
              <w:rPr>
                <w:webHidden/>
              </w:rPr>
              <w:tab/>
            </w:r>
            <w:r>
              <w:rPr>
                <w:webHidden/>
              </w:rPr>
              <w:fldChar w:fldCharType="begin"/>
            </w:r>
            <w:r>
              <w:rPr>
                <w:webHidden/>
              </w:rPr>
              <w:instrText xml:space="preserve"> PAGEREF _Toc139885149 \h </w:instrText>
            </w:r>
            <w:r>
              <w:rPr>
                <w:webHidden/>
              </w:rPr>
            </w:r>
            <w:r>
              <w:rPr>
                <w:webHidden/>
              </w:rPr>
              <w:fldChar w:fldCharType="separate"/>
            </w:r>
            <w:r>
              <w:rPr>
                <w:webHidden/>
              </w:rPr>
              <w:t>13</w:t>
            </w:r>
            <w:r>
              <w:rPr>
                <w:webHidden/>
              </w:rPr>
              <w:fldChar w:fldCharType="end"/>
            </w:r>
          </w:hyperlink>
        </w:p>
        <w:p w14:paraId="3818F78E" w14:textId="47F55E8A" w:rsidR="00145730" w:rsidRDefault="00145730">
          <w:pPr>
            <w:pStyle w:val="TOC1"/>
            <w:rPr>
              <w:rFonts w:asciiTheme="minorHAnsi" w:eastAsiaTheme="minorEastAsia" w:hAnsiTheme="minorHAnsi" w:cstheme="minorBidi"/>
              <w:b w:val="0"/>
              <w:bCs w:val="0"/>
              <w:kern w:val="2"/>
              <w:lang w:eastAsia="el-GR"/>
              <w14:ligatures w14:val="standardContextual"/>
            </w:rPr>
          </w:pPr>
          <w:hyperlink w:anchor="_Toc139885150" w:history="1">
            <w:r w:rsidRPr="00F434A1">
              <w:rPr>
                <w:rStyle w:val="Hyperlink"/>
              </w:rPr>
              <w:t>3.</w:t>
            </w:r>
            <w:r>
              <w:rPr>
                <w:rFonts w:asciiTheme="minorHAnsi" w:eastAsiaTheme="minorEastAsia" w:hAnsiTheme="minorHAnsi" w:cstheme="minorBidi"/>
                <w:b w:val="0"/>
                <w:bCs w:val="0"/>
                <w:kern w:val="2"/>
                <w:lang w:eastAsia="el-GR"/>
                <w14:ligatures w14:val="standardContextual"/>
              </w:rPr>
              <w:tab/>
            </w:r>
            <w:r w:rsidRPr="00F434A1">
              <w:rPr>
                <w:rStyle w:val="Hyperlink"/>
              </w:rPr>
              <w:t>ΘΕΜΑΤΑ ΥΓΕΙΑΣ &amp; ΑΣΦΑΛΕΙΑΣ ΣΤΗΝ ΕΡΓΑΣΙΑ</w:t>
            </w:r>
            <w:r>
              <w:rPr>
                <w:webHidden/>
              </w:rPr>
              <w:tab/>
            </w:r>
            <w:r>
              <w:rPr>
                <w:webHidden/>
              </w:rPr>
              <w:fldChar w:fldCharType="begin"/>
            </w:r>
            <w:r>
              <w:rPr>
                <w:webHidden/>
              </w:rPr>
              <w:instrText xml:space="preserve"> PAGEREF _Toc139885150 \h </w:instrText>
            </w:r>
            <w:r>
              <w:rPr>
                <w:webHidden/>
              </w:rPr>
            </w:r>
            <w:r>
              <w:rPr>
                <w:webHidden/>
              </w:rPr>
              <w:fldChar w:fldCharType="separate"/>
            </w:r>
            <w:r>
              <w:rPr>
                <w:webHidden/>
              </w:rPr>
              <w:t>16</w:t>
            </w:r>
            <w:r>
              <w:rPr>
                <w:webHidden/>
              </w:rPr>
              <w:fldChar w:fldCharType="end"/>
            </w:r>
          </w:hyperlink>
        </w:p>
        <w:p w14:paraId="30DDC653" w14:textId="73182B47" w:rsidR="00145730" w:rsidRDefault="00145730">
          <w:pPr>
            <w:pStyle w:val="TOC2"/>
            <w:rPr>
              <w:rFonts w:asciiTheme="minorHAnsi" w:eastAsiaTheme="minorEastAsia" w:hAnsiTheme="minorHAnsi" w:cstheme="minorBidi"/>
              <w:bCs w:val="0"/>
              <w:kern w:val="2"/>
              <w:lang w:eastAsia="el-GR"/>
              <w14:ligatures w14:val="standardContextual"/>
            </w:rPr>
          </w:pPr>
          <w:hyperlink w:anchor="_Toc139885151" w:history="1">
            <w:r w:rsidRPr="00F434A1">
              <w:rPr>
                <w:rStyle w:val="Hyperlink"/>
                <w:rFonts w:ascii="Times New Roman" w:hAnsi="Times New Roman" w:cs="Times New Roman"/>
                <w:b/>
              </w:rPr>
              <w:t>Α. Πρόληψη της θερμικής καταπόνησης των εργαζομένων</w:t>
            </w:r>
            <w:r>
              <w:rPr>
                <w:webHidden/>
              </w:rPr>
              <w:tab/>
            </w:r>
            <w:r>
              <w:rPr>
                <w:webHidden/>
              </w:rPr>
              <w:fldChar w:fldCharType="begin"/>
            </w:r>
            <w:r>
              <w:rPr>
                <w:webHidden/>
              </w:rPr>
              <w:instrText xml:space="preserve"> PAGEREF _Toc139885151 \h </w:instrText>
            </w:r>
            <w:r>
              <w:rPr>
                <w:webHidden/>
              </w:rPr>
            </w:r>
            <w:r>
              <w:rPr>
                <w:webHidden/>
              </w:rPr>
              <w:fldChar w:fldCharType="separate"/>
            </w:r>
            <w:r>
              <w:rPr>
                <w:webHidden/>
              </w:rPr>
              <w:t>16</w:t>
            </w:r>
            <w:r>
              <w:rPr>
                <w:webHidden/>
              </w:rPr>
              <w:fldChar w:fldCharType="end"/>
            </w:r>
          </w:hyperlink>
        </w:p>
        <w:p w14:paraId="470E196C" w14:textId="19B8C94F" w:rsidR="00145730" w:rsidRDefault="00145730">
          <w:pPr>
            <w:pStyle w:val="TOC1"/>
            <w:rPr>
              <w:rFonts w:asciiTheme="minorHAnsi" w:eastAsiaTheme="minorEastAsia" w:hAnsiTheme="minorHAnsi" w:cstheme="minorBidi"/>
              <w:b w:val="0"/>
              <w:bCs w:val="0"/>
              <w:kern w:val="2"/>
              <w:lang w:eastAsia="el-GR"/>
              <w14:ligatures w14:val="standardContextual"/>
            </w:rPr>
          </w:pPr>
          <w:hyperlink w:anchor="_Toc139885152" w:history="1">
            <w:r w:rsidRPr="00F434A1">
              <w:rPr>
                <w:rStyle w:val="Hyperlink"/>
              </w:rPr>
              <w:t>4.</w:t>
            </w:r>
            <w:r>
              <w:rPr>
                <w:rFonts w:asciiTheme="minorHAnsi" w:eastAsiaTheme="minorEastAsia" w:hAnsiTheme="minorHAnsi" w:cstheme="minorBidi"/>
                <w:b w:val="0"/>
                <w:bCs w:val="0"/>
                <w:kern w:val="2"/>
                <w:lang w:eastAsia="el-GR"/>
                <w14:ligatures w14:val="standardContextual"/>
              </w:rPr>
              <w:tab/>
            </w:r>
            <w:r w:rsidRPr="00F434A1">
              <w:rPr>
                <w:rStyle w:val="Hyperlink"/>
              </w:rPr>
              <w:t>ΘΕΜΑΤΑ ΕΠΙΧΕΙΡΗΜΑΤΙΚΩΝ ΠΑΡΚΩΝ (ΕΠ) / ΟΡΓΑΝΩΜΕΝΩΝ ΥΠΟΔΟΧΕΩΝ ΜΕΤΑΠΟΙΗΤΙΚΩΝ &amp; ΕΠΙΧΕΙΡΗΜΑΤΙΚΩΝ ΔΡΑΣΤΗΡΙΟΤΗΤΩΝ (ΟΥΜΕΔ) ΚΑΙ ΕΦΟΔΙΑΣΤΙΚΗΣ</w:t>
            </w:r>
            <w:r>
              <w:rPr>
                <w:webHidden/>
              </w:rPr>
              <w:tab/>
            </w:r>
            <w:r>
              <w:rPr>
                <w:webHidden/>
              </w:rPr>
              <w:fldChar w:fldCharType="begin"/>
            </w:r>
            <w:r>
              <w:rPr>
                <w:webHidden/>
              </w:rPr>
              <w:instrText xml:space="preserve"> PAGEREF _Toc139885152 \h </w:instrText>
            </w:r>
            <w:r>
              <w:rPr>
                <w:webHidden/>
              </w:rPr>
            </w:r>
            <w:r>
              <w:rPr>
                <w:webHidden/>
              </w:rPr>
              <w:fldChar w:fldCharType="separate"/>
            </w:r>
            <w:r>
              <w:rPr>
                <w:webHidden/>
              </w:rPr>
              <w:t>19</w:t>
            </w:r>
            <w:r>
              <w:rPr>
                <w:webHidden/>
              </w:rPr>
              <w:fldChar w:fldCharType="end"/>
            </w:r>
          </w:hyperlink>
        </w:p>
        <w:p w14:paraId="02F211B7" w14:textId="4C9051E3" w:rsidR="00145730" w:rsidRDefault="00145730">
          <w:pPr>
            <w:pStyle w:val="TOC2"/>
            <w:rPr>
              <w:rFonts w:asciiTheme="minorHAnsi" w:eastAsiaTheme="minorEastAsia" w:hAnsiTheme="minorHAnsi" w:cstheme="minorBidi"/>
              <w:bCs w:val="0"/>
              <w:kern w:val="2"/>
              <w:lang w:eastAsia="el-GR"/>
              <w14:ligatures w14:val="standardContextual"/>
            </w:rPr>
          </w:pPr>
          <w:hyperlink w:anchor="_Toc139885153" w:history="1">
            <w:r w:rsidRPr="00F434A1">
              <w:rPr>
                <w:rStyle w:val="Hyperlink"/>
                <w:rFonts w:ascii="Times New Roman" w:hAnsi="Times New Roman" w:cs="Times New Roman"/>
                <w:b/>
              </w:rPr>
              <w:t>Α. Υπαγωγή ΒΙΠΕ του Ν.4458/1965 στις διατάξεις του Ν.4982/2022</w:t>
            </w:r>
            <w:r>
              <w:rPr>
                <w:webHidden/>
              </w:rPr>
              <w:tab/>
            </w:r>
            <w:r>
              <w:rPr>
                <w:webHidden/>
              </w:rPr>
              <w:fldChar w:fldCharType="begin"/>
            </w:r>
            <w:r>
              <w:rPr>
                <w:webHidden/>
              </w:rPr>
              <w:instrText xml:space="preserve"> PAGEREF _Toc139885153 \h </w:instrText>
            </w:r>
            <w:r>
              <w:rPr>
                <w:webHidden/>
              </w:rPr>
            </w:r>
            <w:r>
              <w:rPr>
                <w:webHidden/>
              </w:rPr>
              <w:fldChar w:fldCharType="separate"/>
            </w:r>
            <w:r>
              <w:rPr>
                <w:webHidden/>
              </w:rPr>
              <w:t>19</w:t>
            </w:r>
            <w:r>
              <w:rPr>
                <w:webHidden/>
              </w:rPr>
              <w:fldChar w:fldCharType="end"/>
            </w:r>
          </w:hyperlink>
        </w:p>
        <w:p w14:paraId="1B9E45EA" w14:textId="22F43E6F" w:rsidR="00145730" w:rsidRDefault="00145730">
          <w:pPr>
            <w:pStyle w:val="TOC2"/>
            <w:rPr>
              <w:rFonts w:asciiTheme="minorHAnsi" w:eastAsiaTheme="minorEastAsia" w:hAnsiTheme="minorHAnsi" w:cstheme="minorBidi"/>
              <w:bCs w:val="0"/>
              <w:kern w:val="2"/>
              <w:lang w:eastAsia="el-GR"/>
              <w14:ligatures w14:val="standardContextual"/>
            </w:rPr>
          </w:pPr>
          <w:hyperlink w:anchor="_Toc139885154" w:history="1">
            <w:r w:rsidRPr="00F434A1">
              <w:rPr>
                <w:rStyle w:val="Hyperlink"/>
                <w:rFonts w:ascii="Times New Roman" w:hAnsi="Times New Roman" w:cs="Times New Roman"/>
                <w:b/>
              </w:rPr>
              <w:t>Β. Διαβούλευση και ψήφιση των νέων Κανονισμών Λειτουργίας των Πάρκων/ΒΙΠΕ της ΕΤΒΑ ΒΙΠΕ ΑΕ</w:t>
            </w:r>
            <w:r>
              <w:rPr>
                <w:webHidden/>
              </w:rPr>
              <w:tab/>
            </w:r>
            <w:r>
              <w:rPr>
                <w:webHidden/>
              </w:rPr>
              <w:fldChar w:fldCharType="begin"/>
            </w:r>
            <w:r>
              <w:rPr>
                <w:webHidden/>
              </w:rPr>
              <w:instrText xml:space="preserve"> PAGEREF _Toc139885154 \h </w:instrText>
            </w:r>
            <w:r>
              <w:rPr>
                <w:webHidden/>
              </w:rPr>
            </w:r>
            <w:r>
              <w:rPr>
                <w:webHidden/>
              </w:rPr>
              <w:fldChar w:fldCharType="separate"/>
            </w:r>
            <w:r>
              <w:rPr>
                <w:webHidden/>
              </w:rPr>
              <w:t>20</w:t>
            </w:r>
            <w:r>
              <w:rPr>
                <w:webHidden/>
              </w:rPr>
              <w:fldChar w:fldCharType="end"/>
            </w:r>
          </w:hyperlink>
        </w:p>
        <w:p w14:paraId="6251AC8E" w14:textId="21ECF0D6" w:rsidR="001F66DA" w:rsidRPr="00752A76" w:rsidRDefault="008D455D" w:rsidP="000D13E4">
          <w:pPr>
            <w:pStyle w:val="TOC2"/>
            <w:rPr>
              <w:rFonts w:ascii="Times New Roman" w:hAnsi="Times New Roman" w:cs="Times New Roman"/>
              <w:sz w:val="24"/>
              <w:szCs w:val="24"/>
            </w:rPr>
            <w:sectPr w:rsidR="001F66DA" w:rsidRPr="00752A76" w:rsidSect="00C142C6">
              <w:headerReference w:type="default" r:id="rId8"/>
              <w:footerReference w:type="default" r:id="rId9"/>
              <w:headerReference w:type="first" r:id="rId10"/>
              <w:footerReference w:type="first" r:id="rId11"/>
              <w:pgSz w:w="11906" w:h="16838"/>
              <w:pgMar w:top="1843" w:right="1558" w:bottom="1440" w:left="1800" w:header="709" w:footer="708" w:gutter="0"/>
              <w:cols w:space="708"/>
              <w:titlePg/>
              <w:docGrid w:linePitch="360"/>
            </w:sectPr>
          </w:pPr>
          <w:r w:rsidRPr="00F55FBC">
            <w:rPr>
              <w:rFonts w:ascii="Times New Roman" w:hAnsi="Times New Roman" w:cs="Times New Roman"/>
              <w:sz w:val="24"/>
              <w:szCs w:val="24"/>
            </w:rPr>
            <w:fldChar w:fldCharType="end"/>
          </w:r>
        </w:p>
      </w:sdtContent>
    </w:sdt>
    <w:p w14:paraId="553EE6C1" w14:textId="77777777" w:rsidR="007E35F2" w:rsidRPr="00957288" w:rsidRDefault="007E35F2" w:rsidP="006706DE">
      <w:pPr>
        <w:pStyle w:val="Heading1"/>
        <w:numPr>
          <w:ilvl w:val="8"/>
          <w:numId w:val="9"/>
        </w:numPr>
        <w:shd w:val="clear" w:color="auto" w:fill="D9E2F3" w:themeFill="accent1" w:themeFillTint="33"/>
        <w:spacing w:before="240" w:after="120" w:line="288" w:lineRule="auto"/>
        <w:ind w:left="0" w:right="43" w:firstLine="0"/>
        <w:jc w:val="center"/>
      </w:pPr>
      <w:bookmarkStart w:id="0" w:name="_Toc127284520"/>
      <w:bookmarkStart w:id="1" w:name="_Toc139885144"/>
      <w:r w:rsidRPr="00957288">
        <w:lastRenderedPageBreak/>
        <w:t>ΘΕΜΑΤΑ ΑΝΑΠΤΥΞΙΑΚΩΝ – ΧΡΗΜΑΤΟΔΟΤΙΚΩΝ ΠΡΟΓΡΑΜΜΑΤΩΝ</w:t>
      </w:r>
      <w:bookmarkEnd w:id="0"/>
      <w:bookmarkEnd w:id="1"/>
    </w:p>
    <w:p w14:paraId="69274B55" w14:textId="3775D2D2" w:rsidR="007E35F2" w:rsidRDefault="007E35F2" w:rsidP="007D1E26">
      <w:pPr>
        <w:pStyle w:val="Heading2"/>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2" w:name="_Toc127284521"/>
      <w:bookmarkStart w:id="3" w:name="_Toc139885145"/>
      <w:r w:rsidRPr="00957288">
        <w:rPr>
          <w:rFonts w:ascii="Times New Roman" w:hAnsi="Times New Roman" w:cs="Times New Roman"/>
          <w:b/>
          <w:bCs/>
          <w:color w:val="auto"/>
          <w:sz w:val="24"/>
          <w:szCs w:val="24"/>
        </w:rPr>
        <w:t xml:space="preserve">Α. </w:t>
      </w:r>
      <w:bookmarkEnd w:id="2"/>
      <w:r w:rsidR="003C3A43" w:rsidRPr="003C3A43">
        <w:rPr>
          <w:rFonts w:ascii="Times New Roman" w:hAnsi="Times New Roman" w:cs="Times New Roman"/>
          <w:b/>
          <w:bCs/>
          <w:color w:val="auto"/>
          <w:sz w:val="24"/>
          <w:szCs w:val="24"/>
        </w:rPr>
        <w:t>Καινοτομία και Πράσινη Μετάβαση στη Μεταποίηση Αγροτικών Προϊόντων</w:t>
      </w:r>
      <w:r w:rsidR="003C3A43">
        <w:rPr>
          <w:rFonts w:ascii="Times New Roman" w:hAnsi="Times New Roman" w:cs="Times New Roman"/>
          <w:b/>
          <w:bCs/>
          <w:color w:val="auto"/>
          <w:sz w:val="24"/>
          <w:szCs w:val="24"/>
        </w:rPr>
        <w:t xml:space="preserve"> 2</w:t>
      </w:r>
      <w:r w:rsidR="003C3A43" w:rsidRPr="003C3A43">
        <w:rPr>
          <w:rFonts w:ascii="Times New Roman" w:hAnsi="Times New Roman" w:cs="Times New Roman"/>
          <w:b/>
          <w:bCs/>
          <w:color w:val="auto"/>
          <w:sz w:val="24"/>
          <w:szCs w:val="24"/>
          <w:vertAlign w:val="superscript"/>
        </w:rPr>
        <w:t>ος</w:t>
      </w:r>
      <w:r w:rsidR="003C3A43">
        <w:rPr>
          <w:rFonts w:ascii="Times New Roman" w:hAnsi="Times New Roman" w:cs="Times New Roman"/>
          <w:b/>
          <w:bCs/>
          <w:color w:val="auto"/>
          <w:sz w:val="24"/>
          <w:szCs w:val="24"/>
        </w:rPr>
        <w:t xml:space="preserve"> Κύκλος Υποβολών</w:t>
      </w:r>
      <w:bookmarkEnd w:id="3"/>
    </w:p>
    <w:p w14:paraId="691C6777" w14:textId="77777777" w:rsidR="003C3A43" w:rsidRPr="003C3A43" w:rsidRDefault="003C3A43" w:rsidP="003C3A43">
      <w:pPr>
        <w:jc w:val="both"/>
        <w:rPr>
          <w:rFonts w:ascii="Times New Roman" w:hAnsi="Times New Roman" w:cs="Times New Roman"/>
          <w:b/>
          <w:bCs/>
          <w:sz w:val="24"/>
          <w:szCs w:val="24"/>
          <w:u w:val="single"/>
        </w:rPr>
      </w:pPr>
      <w:r w:rsidRPr="003C3A43">
        <w:rPr>
          <w:rFonts w:ascii="Times New Roman" w:hAnsi="Times New Roman" w:cs="Times New Roman"/>
          <w:b/>
          <w:bCs/>
          <w:sz w:val="24"/>
          <w:szCs w:val="24"/>
          <w:u w:val="single"/>
        </w:rPr>
        <w:t>ΕΠΙΛΕΞΙΜΕΣ ΕΠΙΧΕΙΡΗΣΕΙΣ</w:t>
      </w:r>
    </w:p>
    <w:p w14:paraId="01BA20BE" w14:textId="77777777" w:rsidR="003C3A43" w:rsidRPr="003C3A43" w:rsidRDefault="003C3A43" w:rsidP="003C3A43">
      <w:p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Στο πλαίσιο του προγράμματος </w:t>
      </w:r>
      <w:r w:rsidRPr="003C3A43">
        <w:rPr>
          <w:rFonts w:ascii="Times New Roman" w:hAnsi="Times New Roman" w:cs="Times New Roman"/>
          <w:b/>
          <w:bCs/>
          <w:sz w:val="24"/>
          <w:szCs w:val="24"/>
        </w:rPr>
        <w:t>«Καινοτομία και πράσινη μετάβαση στη μεταποίηση αγροτικών προϊόντων»</w:t>
      </w:r>
      <w:r w:rsidRPr="003C3A43">
        <w:rPr>
          <w:rFonts w:ascii="Times New Roman" w:hAnsi="Times New Roman" w:cs="Times New Roman"/>
          <w:bCs/>
          <w:sz w:val="24"/>
          <w:szCs w:val="24"/>
        </w:rPr>
        <w:t xml:space="preserve">, δικαιούχοι δύνανται να κριθούν όλα τα </w:t>
      </w:r>
      <w:r w:rsidRPr="003C3A43">
        <w:rPr>
          <w:rFonts w:ascii="Times New Roman" w:hAnsi="Times New Roman" w:cs="Times New Roman"/>
          <w:bCs/>
          <w:sz w:val="24"/>
          <w:szCs w:val="24"/>
          <w:u w:val="single"/>
        </w:rPr>
        <w:t>νομικά πρόσωπα</w:t>
      </w:r>
      <w:r w:rsidRPr="003C3A43">
        <w:rPr>
          <w:rFonts w:ascii="Times New Roman" w:hAnsi="Times New Roman" w:cs="Times New Roman"/>
          <w:bCs/>
          <w:sz w:val="24"/>
          <w:szCs w:val="24"/>
        </w:rPr>
        <w:t xml:space="preserve"> είτε ανήκουν στις μικρομεσαίες, είτε στις μεγάλες επιχειρήσεις, υπό την προϋπόθεση να δραστηριοποιούνται σε έναν από τους τομείς «Δραστηριότητες μετά την συγκομιδή», «Βιομηχανία τροφίμων», «Ποτοποιία», «Παραγωγή προϊόντων καπνού»,  «Παραγωγή κλωστοϋφαντουργικών υλών», «Αποθήκευση και υποστηρικτικές προς μεταφορά δραστηριότητες» σύμφωνα με τον πίνακα των επιλέξιμων </w:t>
      </w:r>
      <w:proofErr w:type="spellStart"/>
      <w:r w:rsidRPr="003C3A43">
        <w:rPr>
          <w:rFonts w:ascii="Times New Roman" w:hAnsi="Times New Roman" w:cs="Times New Roman"/>
          <w:bCs/>
          <w:sz w:val="24"/>
          <w:szCs w:val="24"/>
        </w:rPr>
        <w:t>ΚΑΔ</w:t>
      </w:r>
      <w:proofErr w:type="spellEnd"/>
      <w:r w:rsidRPr="003C3A43">
        <w:rPr>
          <w:rFonts w:ascii="Times New Roman" w:hAnsi="Times New Roman" w:cs="Times New Roman"/>
          <w:bCs/>
          <w:sz w:val="24"/>
          <w:szCs w:val="24"/>
        </w:rPr>
        <w:t xml:space="preserve"> και υπό την προϋπόθεση να πληρούν μια από τις ακόλουθες προϋποθέσεις:</w:t>
      </w:r>
    </w:p>
    <w:p w14:paraId="3A1B1F47" w14:textId="77777777" w:rsidR="003C3A43" w:rsidRPr="003C3A43" w:rsidRDefault="003C3A43" w:rsidP="003C3A43">
      <w:pPr>
        <w:numPr>
          <w:ilvl w:val="0"/>
          <w:numId w:val="11"/>
        </w:numPr>
        <w:jc w:val="both"/>
        <w:rPr>
          <w:rFonts w:ascii="Times New Roman" w:hAnsi="Times New Roman" w:cs="Times New Roman"/>
          <w:bCs/>
          <w:sz w:val="24"/>
          <w:szCs w:val="24"/>
        </w:rPr>
      </w:pPr>
      <w:r w:rsidRPr="003C3A43">
        <w:rPr>
          <w:rFonts w:ascii="Times New Roman" w:hAnsi="Times New Roman" w:cs="Times New Roman"/>
          <w:bCs/>
          <w:sz w:val="24"/>
          <w:szCs w:val="24"/>
        </w:rPr>
        <w:t>Είναι Ομάδες Παραγωγών, Οργανώσεις Παραγωγών, Ενώσεις Οργανώσεων Παραγωγών, Αγροτικοί Συνεταιρισμοί (ΑΣ), Αγροτικές Εταιρικές Συμπράξεις και Ανώνυμες Εταιρίες των οποίων η πλειοψηφία των μετοχών ανήκει σε Αγροτικούς Συνεταιρισμούς του ν. 4673/2020 «Αγροτικοί Συνεταιρισμοί και άλλες διατάξεις».</w:t>
      </w:r>
    </w:p>
    <w:p w14:paraId="365E2D88" w14:textId="77777777" w:rsidR="003C3A43" w:rsidRPr="003C3A43" w:rsidRDefault="003C3A43" w:rsidP="003C3A43">
      <w:pPr>
        <w:numPr>
          <w:ilvl w:val="0"/>
          <w:numId w:val="11"/>
        </w:num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Είναι Κοινωνικές Συνεταιριστικές Επιχειρήσεις του ν. 4430/2016 και εταιρίες του εμπορικού δικαίου, εκτός αυτών της περίπτωσης α) πιο πάνω, εφόσον μεταποιούν ή/και εμπορεύονται γεωργικό προϊόν με παραγόμενο, τελικό, γεωργικό ή μη γεωργικό προϊόν, κατ’ ελάχιστον το 40% κατ’ έτος, της αξίας των Α’ υλών που χρησιμοποιούνται στην ενισχυόμενη επένδυση είναι γεωργικό προϊόν </w:t>
      </w:r>
      <w:proofErr w:type="spellStart"/>
      <w:r w:rsidRPr="003C3A43">
        <w:rPr>
          <w:rFonts w:ascii="Times New Roman" w:hAnsi="Times New Roman" w:cs="Times New Roman"/>
          <w:bCs/>
          <w:sz w:val="24"/>
          <w:szCs w:val="24"/>
        </w:rPr>
        <w:t>συμβολαιακής</w:t>
      </w:r>
      <w:proofErr w:type="spellEnd"/>
      <w:r w:rsidRPr="003C3A43">
        <w:rPr>
          <w:rFonts w:ascii="Times New Roman" w:hAnsi="Times New Roman" w:cs="Times New Roman"/>
          <w:bCs/>
          <w:sz w:val="24"/>
          <w:szCs w:val="24"/>
        </w:rPr>
        <w:t xml:space="preserve"> γεωργίας. Τα συμβόλαια συνάπτονται μεταξύ του δικαιούχου της ενίσχυσης και των παραγωγών του γεωργικού προϊόντος. Η υποχρέωση εφαρμογής της </w:t>
      </w:r>
      <w:proofErr w:type="spellStart"/>
      <w:r w:rsidRPr="003C3A43">
        <w:rPr>
          <w:rFonts w:ascii="Times New Roman" w:hAnsi="Times New Roman" w:cs="Times New Roman"/>
          <w:bCs/>
          <w:sz w:val="24"/>
          <w:szCs w:val="24"/>
        </w:rPr>
        <w:t>συμβολαιακής</w:t>
      </w:r>
      <w:proofErr w:type="spellEnd"/>
      <w:r w:rsidRPr="003C3A43">
        <w:rPr>
          <w:rFonts w:ascii="Times New Roman" w:hAnsi="Times New Roman" w:cs="Times New Roman"/>
          <w:bCs/>
          <w:sz w:val="24"/>
          <w:szCs w:val="24"/>
        </w:rPr>
        <w:t xml:space="preserve"> γεωργίας ξεκινάει από την ημερομηνία ολοκλήρωσης της υλοποίησης της επένδυσης και τα συμβόλαια είναι τουλάχιστον 3-ετούς διάρκειας. Με την πάροδο 3-ετίας από την ολοκλήρωση της υλοποίησης της επένδυσης και εντός προθεσμίας 2 μηνών, ο δικαιούχος υποχρεούται να προσκομίσει ενυπόγραφη βεβαίωση ορκωτού λογιστή όπου θα τεκμηριώνεται η ανωτέρω προϋπόθεση.</w:t>
      </w:r>
    </w:p>
    <w:p w14:paraId="2E433000" w14:textId="77777777" w:rsidR="003C3A43" w:rsidRPr="003C3A43" w:rsidRDefault="003C3A43" w:rsidP="003C3A43">
      <w:pPr>
        <w:numPr>
          <w:ilvl w:val="0"/>
          <w:numId w:val="11"/>
        </w:num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Είναι Κοινωνικές Συνεταιριστικές Επιχειρήσεις του ν. 4430/2016 και εταιρίες του εμπορικού δικαίου, εκτός αυτών της περίπτωσης α) πιο πάνω, οι οποίες εμφανίζουν βαθμό καθετοποίησης σε ποσοστό τουλάχιστον 40%, αξιοποιώντας </w:t>
      </w:r>
      <w:proofErr w:type="spellStart"/>
      <w:r w:rsidRPr="003C3A43">
        <w:rPr>
          <w:rFonts w:ascii="Times New Roman" w:hAnsi="Times New Roman" w:cs="Times New Roman"/>
          <w:bCs/>
          <w:sz w:val="24"/>
          <w:szCs w:val="24"/>
        </w:rPr>
        <w:t>ιδιοπαραγόμενα</w:t>
      </w:r>
      <w:proofErr w:type="spellEnd"/>
      <w:r w:rsidRPr="003C3A43">
        <w:rPr>
          <w:rFonts w:ascii="Times New Roman" w:hAnsi="Times New Roman" w:cs="Times New Roman"/>
          <w:bCs/>
          <w:sz w:val="24"/>
          <w:szCs w:val="24"/>
        </w:rPr>
        <w:t xml:space="preserve"> αγροτικά προϊόντα. Η υποχρέωση διατήρησης του ποσοστού καθετοποίησης ξεκινάει μετά την ολοκλήρωση της υλοποίησης της επένδυσης και είναι 3-ετής. Με την πάροδο της 3-τίας από την έναρξη της υποχρέωσης καθετοποίησης της παραγωγής και εντός προθεσμίας 2 μηνών, ο δικαιούχος υποχρεούται να προσκομίσει ενυπόγραφη βεβαίωση ορκωτού λογιστή, όπου θα τεκμηριώνονται τα ανωτέρω.</w:t>
      </w:r>
    </w:p>
    <w:p w14:paraId="62954352" w14:textId="77777777" w:rsidR="003C3A43" w:rsidRPr="003C3A43" w:rsidRDefault="003C3A43" w:rsidP="003C3A43">
      <w:pPr>
        <w:jc w:val="both"/>
        <w:rPr>
          <w:rFonts w:ascii="Times New Roman" w:hAnsi="Times New Roman" w:cs="Times New Roman"/>
          <w:bCs/>
          <w:sz w:val="24"/>
          <w:szCs w:val="24"/>
        </w:rPr>
      </w:pPr>
    </w:p>
    <w:p w14:paraId="13447A08" w14:textId="77777777" w:rsidR="003C3A43" w:rsidRDefault="003C3A43" w:rsidP="003C3A43">
      <w:pPr>
        <w:numPr>
          <w:ilvl w:val="0"/>
          <w:numId w:val="11"/>
        </w:numPr>
        <w:jc w:val="both"/>
        <w:rPr>
          <w:rFonts w:ascii="Times New Roman" w:hAnsi="Times New Roman" w:cs="Times New Roman"/>
          <w:bCs/>
          <w:sz w:val="24"/>
          <w:szCs w:val="24"/>
        </w:rPr>
      </w:pPr>
      <w:r w:rsidRPr="003C3A43">
        <w:rPr>
          <w:rFonts w:ascii="Times New Roman" w:hAnsi="Times New Roman" w:cs="Times New Roman"/>
          <w:bCs/>
          <w:sz w:val="24"/>
          <w:szCs w:val="24"/>
        </w:rPr>
        <w:lastRenderedPageBreak/>
        <w:t>Υπό σύσταση νομικά πρόσωπα, με την προϋπόθεση να ολοκληρώσουν τις διαδικασίες σύστασης πριν την έκδοση της ατομικής τους εγκριτικής απόφασης ενίσχυσης.</w:t>
      </w:r>
    </w:p>
    <w:p w14:paraId="69BDE3F6" w14:textId="77777777" w:rsidR="003C3A43" w:rsidRPr="00935EAE" w:rsidRDefault="003C3A43" w:rsidP="003C3A43">
      <w:pPr>
        <w:pStyle w:val="ListParagraph"/>
        <w:rPr>
          <w:rFonts w:ascii="Times New Roman" w:hAnsi="Times New Roman" w:cs="Times New Roman"/>
          <w:bCs/>
          <w:sz w:val="24"/>
          <w:szCs w:val="24"/>
          <w:lang w:val="el-GR"/>
        </w:rPr>
      </w:pPr>
    </w:p>
    <w:p w14:paraId="078061EF" w14:textId="77777777" w:rsidR="003C3A43" w:rsidRPr="003C3A43" w:rsidRDefault="003C3A43" w:rsidP="003C3A43">
      <w:pPr>
        <w:jc w:val="both"/>
        <w:rPr>
          <w:rFonts w:ascii="Times New Roman" w:hAnsi="Times New Roman" w:cs="Times New Roman"/>
          <w:b/>
          <w:bCs/>
          <w:sz w:val="24"/>
          <w:szCs w:val="24"/>
          <w:u w:val="single"/>
        </w:rPr>
      </w:pPr>
      <w:r w:rsidRPr="003C3A43">
        <w:rPr>
          <w:rFonts w:ascii="Times New Roman" w:hAnsi="Times New Roman" w:cs="Times New Roman"/>
          <w:b/>
          <w:bCs/>
          <w:sz w:val="24"/>
          <w:szCs w:val="24"/>
          <w:u w:val="single"/>
        </w:rPr>
        <w:t>ΕΠΙΛΕΞΙΜΕΣ ΔΑΠΑΝΕΣ</w:t>
      </w:r>
    </w:p>
    <w:p w14:paraId="6339B3A9"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Αγορά γης, κατασκευή ή εκσυγχρονισμός ακινήτων.</w:t>
      </w:r>
    </w:p>
    <w:p w14:paraId="37AE502F"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Διαμόρφωση περιβάλλοντος χώρου προκειμένου να εξυπηρετούνται οι ανάγκες της μονάδας.</w:t>
      </w:r>
    </w:p>
    <w:p w14:paraId="3546E33B" w14:textId="73E5707B"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Οχήματα με τα οποία η επιχείρηση διενεργεί μεταφορές Α΄ υλών και προϊόντων (έτοιμων και </w:t>
      </w:r>
      <w:proofErr w:type="spellStart"/>
      <w:r w:rsidRPr="003C3A43">
        <w:rPr>
          <w:rFonts w:ascii="Times New Roman" w:hAnsi="Times New Roman" w:cs="Times New Roman"/>
          <w:bCs/>
          <w:sz w:val="24"/>
          <w:szCs w:val="24"/>
        </w:rPr>
        <w:t>ημιέτοιμων</w:t>
      </w:r>
      <w:proofErr w:type="spellEnd"/>
      <w:r w:rsidRPr="003C3A43">
        <w:rPr>
          <w:rFonts w:ascii="Times New Roman" w:hAnsi="Times New Roman" w:cs="Times New Roman"/>
          <w:bCs/>
          <w:sz w:val="24"/>
          <w:szCs w:val="24"/>
        </w:rPr>
        <w:t>), εντός του χώρου της μονάδας. Επιλέξιμα είναι τα ηλεκτρικά οχήματα, τα οχήματα μηδενικών εκπομπών CO2 και τα οχήματα που εκπέμπουν CO2 μικρότερο των 50g/</w:t>
      </w:r>
      <w:proofErr w:type="spellStart"/>
      <w:r w:rsidRPr="003C3A43">
        <w:rPr>
          <w:rFonts w:ascii="Times New Roman" w:hAnsi="Times New Roman" w:cs="Times New Roman"/>
          <w:bCs/>
          <w:sz w:val="24"/>
          <w:szCs w:val="24"/>
        </w:rPr>
        <w:t>Km</w:t>
      </w:r>
      <w:proofErr w:type="spellEnd"/>
      <w:r w:rsidRPr="003C3A43">
        <w:rPr>
          <w:rFonts w:ascii="Times New Roman" w:hAnsi="Times New Roman" w:cs="Times New Roman"/>
          <w:bCs/>
          <w:sz w:val="24"/>
          <w:szCs w:val="24"/>
        </w:rPr>
        <w:t>.</w:t>
      </w:r>
    </w:p>
    <w:p w14:paraId="7B882532"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Αγορά, μεταφορά και εγκατάσταση εξοπλισμού, συμπεριλαμβανομένου και του εξοπλισμού εργαστηρίων στο βαθμό που εξυπηρετεί την λειτουργία της μονάδας.</w:t>
      </w:r>
    </w:p>
    <w:p w14:paraId="3107FC68" w14:textId="007A6E48"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Δαπάνες εξοπλισμού μηχανοργάνωσης της επιχείρησης. Συμπεριλαμβάνονται και οι δαπάνες για απομακρυσμένη και έξυπνη διαχείριση με την εγκατάσταση συστημάτων </w:t>
      </w:r>
      <w:proofErr w:type="spellStart"/>
      <w:r w:rsidRPr="003C3A43">
        <w:rPr>
          <w:rFonts w:ascii="Times New Roman" w:hAnsi="Times New Roman" w:cs="Times New Roman"/>
          <w:bCs/>
          <w:sz w:val="24"/>
          <w:szCs w:val="24"/>
        </w:rPr>
        <w:t>τηλ</w:t>
      </w:r>
      <w:r w:rsidR="00EF05CE">
        <w:rPr>
          <w:rFonts w:ascii="Times New Roman" w:hAnsi="Times New Roman" w:cs="Times New Roman"/>
          <w:bCs/>
          <w:sz w:val="24"/>
          <w:szCs w:val="24"/>
        </w:rPr>
        <w:t>ε</w:t>
      </w:r>
      <w:r w:rsidRPr="003C3A43">
        <w:rPr>
          <w:rFonts w:ascii="Times New Roman" w:hAnsi="Times New Roman" w:cs="Times New Roman"/>
          <w:bCs/>
          <w:sz w:val="24"/>
          <w:szCs w:val="24"/>
        </w:rPr>
        <w:t>ελέγχου</w:t>
      </w:r>
      <w:proofErr w:type="spellEnd"/>
      <w:r w:rsidRPr="003C3A43">
        <w:rPr>
          <w:rFonts w:ascii="Times New Roman" w:hAnsi="Times New Roman" w:cs="Times New Roman"/>
          <w:bCs/>
          <w:sz w:val="24"/>
          <w:szCs w:val="24"/>
        </w:rPr>
        <w:t xml:space="preserve"> καθώς και κάθε άλλη επένδυση η οποία οδηγεί σε ψηφιακή αναβάθμιση των επιχειρήσεων.</w:t>
      </w:r>
    </w:p>
    <w:p w14:paraId="1A6AE465"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Δαπάνες για τη διασφάλιση της προσβασιμότητας στα άτομα με αναπηρία.</w:t>
      </w:r>
    </w:p>
    <w:p w14:paraId="11C8BC87"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Ίδρυση και εκσυγχρονισμό των δικτύων διανομής (</w:t>
      </w:r>
      <w:proofErr w:type="spellStart"/>
      <w:r w:rsidRPr="003C3A43">
        <w:rPr>
          <w:rFonts w:ascii="Times New Roman" w:hAnsi="Times New Roman" w:cs="Times New Roman"/>
          <w:bCs/>
          <w:sz w:val="24"/>
          <w:szCs w:val="24"/>
        </w:rPr>
        <w:t>logistic</w:t>
      </w:r>
      <w:proofErr w:type="spellEnd"/>
      <w:r w:rsidRPr="003C3A43">
        <w:rPr>
          <w:rFonts w:ascii="Times New Roman" w:hAnsi="Times New Roman" w:cs="Times New Roman"/>
          <w:bCs/>
          <w:sz w:val="24"/>
          <w:szCs w:val="24"/>
        </w:rPr>
        <w:t>).</w:t>
      </w:r>
    </w:p>
    <w:p w14:paraId="5CF5459B"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Άυλες δαπάνες όπως απόκτηση λογισμικού και αποκτήσεις διπλωμάτων ευρεσιτεχνίας, αδειών εκμετάλλευσης δικαιωμάτων διανοητικής ιδιοκτησίας, εμπορικών σημάτων Τεχνικές προδιαγραφές και σχεδιασμός προϊόντων / Έρευνες αγοράς / Εταιρική ταυτότητα &amp; </w:t>
      </w:r>
      <w:proofErr w:type="spellStart"/>
      <w:r w:rsidRPr="003C3A43">
        <w:rPr>
          <w:rFonts w:ascii="Times New Roman" w:hAnsi="Times New Roman" w:cs="Times New Roman"/>
          <w:bCs/>
          <w:sz w:val="24"/>
          <w:szCs w:val="24"/>
        </w:rPr>
        <w:t>branding</w:t>
      </w:r>
      <w:proofErr w:type="spellEnd"/>
      <w:r w:rsidRPr="003C3A43">
        <w:rPr>
          <w:rFonts w:ascii="Times New Roman" w:hAnsi="Times New Roman" w:cs="Times New Roman"/>
          <w:bCs/>
          <w:sz w:val="24"/>
          <w:szCs w:val="24"/>
        </w:rPr>
        <w:t>, πιστοποιητικά διασφάλισης ποιότητας.</w:t>
      </w:r>
    </w:p>
    <w:p w14:paraId="487C3ED9" w14:textId="77777777" w:rsidR="003C3A43" w:rsidRPr="003C3A43" w:rsidRDefault="003C3A43" w:rsidP="003C3A43">
      <w:pPr>
        <w:numPr>
          <w:ilvl w:val="0"/>
          <w:numId w:val="12"/>
        </w:numPr>
        <w:jc w:val="both"/>
        <w:rPr>
          <w:rFonts w:ascii="Times New Roman" w:hAnsi="Times New Roman" w:cs="Times New Roman"/>
          <w:b/>
          <w:bCs/>
          <w:sz w:val="24"/>
          <w:szCs w:val="24"/>
          <w:u w:val="single"/>
        </w:rPr>
      </w:pPr>
      <w:r w:rsidRPr="003C3A43">
        <w:rPr>
          <w:rFonts w:ascii="Times New Roman" w:hAnsi="Times New Roman" w:cs="Times New Roman"/>
          <w:bCs/>
          <w:sz w:val="24"/>
          <w:szCs w:val="24"/>
        </w:rPr>
        <w:t xml:space="preserve">Άυλα στοιχεία ενεργητικού εφόσον χρησιμοποιούνται αποκλειστικά στην επιχειρηματική εγκατάσταση που λαμβάνει την ενίσχυση, είναι </w:t>
      </w:r>
      <w:proofErr w:type="spellStart"/>
      <w:r w:rsidRPr="003C3A43">
        <w:rPr>
          <w:rFonts w:ascii="Times New Roman" w:hAnsi="Times New Roman" w:cs="Times New Roman"/>
          <w:bCs/>
          <w:sz w:val="24"/>
          <w:szCs w:val="24"/>
        </w:rPr>
        <w:t>αποσβεστέα</w:t>
      </w:r>
      <w:proofErr w:type="spellEnd"/>
      <w:r w:rsidRPr="003C3A43">
        <w:rPr>
          <w:rFonts w:ascii="Times New Roman" w:hAnsi="Times New Roman" w:cs="Times New Roman"/>
          <w:bCs/>
          <w:sz w:val="24"/>
          <w:szCs w:val="24"/>
        </w:rPr>
        <w:t>, αγοράζονται σύμφωνα με τους όρους της αγοράς και περιλαμβάνονται στα στοιχεία ενεργητικού της επιχείρησης.</w:t>
      </w:r>
    </w:p>
    <w:p w14:paraId="6183E81E" w14:textId="77777777" w:rsidR="003C3A43" w:rsidRPr="003C3A43" w:rsidRDefault="003C3A43" w:rsidP="003C3A43">
      <w:pPr>
        <w:numPr>
          <w:ilvl w:val="0"/>
          <w:numId w:val="12"/>
        </w:numPr>
        <w:jc w:val="both"/>
        <w:rPr>
          <w:rFonts w:ascii="Times New Roman" w:hAnsi="Times New Roman" w:cs="Times New Roman"/>
          <w:b/>
          <w:bCs/>
          <w:sz w:val="24"/>
          <w:szCs w:val="24"/>
          <w:u w:val="single"/>
        </w:rPr>
      </w:pPr>
      <w:r w:rsidRPr="003C3A43">
        <w:rPr>
          <w:rFonts w:ascii="Times New Roman" w:hAnsi="Times New Roman" w:cs="Times New Roman"/>
          <w:bCs/>
          <w:sz w:val="24"/>
          <w:szCs w:val="24"/>
        </w:rPr>
        <w:t>Απόκτηση του συνόλου στοιχείων ενεργητικού, που ανήκουν σε επιχειρηματική εγκατάσταση που έχει κλείσει υπό τις προϋποθέσεις.</w:t>
      </w:r>
    </w:p>
    <w:p w14:paraId="1C6CA636"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Ενισχύσεις για συμβουλευτικές υπηρεσίες σε ΜΜΕ (έως 300.000€).</w:t>
      </w:r>
    </w:p>
    <w:p w14:paraId="0F311AE5"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Ενισχύσεις για συμμετοχή ΜΜΕ σε εμπορικές εκθέσεις (έως 500.000€).</w:t>
      </w:r>
    </w:p>
    <w:p w14:paraId="69E17C49"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Ενισχύσεις καινοτομίας για ΜΜΕ (έως 500.000€).</w:t>
      </w:r>
    </w:p>
    <w:p w14:paraId="0A69E619" w14:textId="77777777" w:rsidR="003C3A43" w:rsidRP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Επενδυτικές ενισχύσεις προς επιχειρήσεις για την υπέρβαση </w:t>
      </w:r>
      <w:proofErr w:type="spellStart"/>
      <w:r w:rsidRPr="003C3A43">
        <w:rPr>
          <w:rFonts w:ascii="Times New Roman" w:hAnsi="Times New Roman" w:cs="Times New Roman"/>
          <w:bCs/>
          <w:sz w:val="24"/>
          <w:szCs w:val="24"/>
        </w:rPr>
        <w:t>ενωσιακών</w:t>
      </w:r>
      <w:proofErr w:type="spellEnd"/>
      <w:r w:rsidRPr="003C3A43">
        <w:rPr>
          <w:rFonts w:ascii="Times New Roman" w:hAnsi="Times New Roman" w:cs="Times New Roman"/>
          <w:bCs/>
          <w:sz w:val="24"/>
          <w:szCs w:val="24"/>
        </w:rPr>
        <w:t xml:space="preserve"> προτύπων ή για την αύξηση της προστασίας του περιβάλλοντος ελλείψει </w:t>
      </w:r>
      <w:proofErr w:type="spellStart"/>
      <w:r w:rsidRPr="003C3A43">
        <w:rPr>
          <w:rFonts w:ascii="Times New Roman" w:hAnsi="Times New Roman" w:cs="Times New Roman"/>
          <w:bCs/>
          <w:sz w:val="24"/>
          <w:szCs w:val="24"/>
        </w:rPr>
        <w:t>ενωσιακών</w:t>
      </w:r>
      <w:proofErr w:type="spellEnd"/>
      <w:r w:rsidRPr="003C3A43">
        <w:rPr>
          <w:rFonts w:ascii="Times New Roman" w:hAnsi="Times New Roman" w:cs="Times New Roman"/>
          <w:bCs/>
          <w:sz w:val="24"/>
          <w:szCs w:val="24"/>
        </w:rPr>
        <w:t xml:space="preserve"> προτύπων (έως 2.000.000€).</w:t>
      </w:r>
    </w:p>
    <w:p w14:paraId="3152FED2" w14:textId="77777777" w:rsid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lastRenderedPageBreak/>
        <w:t xml:space="preserve">Επιλέξιμες είναι οι δαπάνες για την αγορά καινούργιων οχημάτων για οδικές μεταφορές αγαθών και προϊόντων, με σκοπό τη συμμόρφωση σε </w:t>
      </w:r>
      <w:proofErr w:type="spellStart"/>
      <w:r w:rsidRPr="003C3A43">
        <w:rPr>
          <w:rFonts w:ascii="Times New Roman" w:hAnsi="Times New Roman" w:cs="Times New Roman"/>
          <w:bCs/>
          <w:sz w:val="24"/>
          <w:szCs w:val="24"/>
        </w:rPr>
        <w:t>εκδοθέντα</w:t>
      </w:r>
      <w:proofErr w:type="spellEnd"/>
      <w:r w:rsidRPr="003C3A43">
        <w:rPr>
          <w:rFonts w:ascii="Times New Roman" w:hAnsi="Times New Roman" w:cs="Times New Roman"/>
          <w:bCs/>
          <w:sz w:val="24"/>
          <w:szCs w:val="24"/>
        </w:rPr>
        <w:t xml:space="preserve"> </w:t>
      </w:r>
      <w:proofErr w:type="spellStart"/>
      <w:r w:rsidRPr="003C3A43">
        <w:rPr>
          <w:rFonts w:ascii="Times New Roman" w:hAnsi="Times New Roman" w:cs="Times New Roman"/>
          <w:bCs/>
          <w:sz w:val="24"/>
          <w:szCs w:val="24"/>
        </w:rPr>
        <w:t>ενωσιακά</w:t>
      </w:r>
      <w:proofErr w:type="spellEnd"/>
      <w:r w:rsidRPr="003C3A43">
        <w:rPr>
          <w:rFonts w:ascii="Times New Roman" w:hAnsi="Times New Roman" w:cs="Times New Roman"/>
          <w:bCs/>
          <w:sz w:val="24"/>
          <w:szCs w:val="24"/>
        </w:rPr>
        <w:t xml:space="preserve"> πρότυπα (έως 30% του προϋπολογισμού).</w:t>
      </w:r>
    </w:p>
    <w:p w14:paraId="3A36F766" w14:textId="0400E4B7" w:rsidR="003C3A43" w:rsidRDefault="003C3A43" w:rsidP="003C3A43">
      <w:pPr>
        <w:numPr>
          <w:ilvl w:val="0"/>
          <w:numId w:val="12"/>
        </w:numPr>
        <w:jc w:val="both"/>
        <w:rPr>
          <w:rFonts w:ascii="Times New Roman" w:hAnsi="Times New Roman" w:cs="Times New Roman"/>
          <w:bCs/>
          <w:sz w:val="24"/>
          <w:szCs w:val="24"/>
        </w:rPr>
      </w:pPr>
      <w:r w:rsidRPr="003C3A43">
        <w:rPr>
          <w:rFonts w:ascii="Times New Roman" w:hAnsi="Times New Roman" w:cs="Times New Roman"/>
          <w:bCs/>
          <w:sz w:val="24"/>
          <w:szCs w:val="24"/>
        </w:rPr>
        <w:t>Επενδυτικές ενισχύσεις για την προώθηση της παραγωγής ενέργειας από ανανεώσιμες πηγές (έως 1.000.000€ έως το 30% του προϋπολογισμού).</w:t>
      </w:r>
    </w:p>
    <w:p w14:paraId="33C67C50" w14:textId="77777777" w:rsidR="0061741C" w:rsidRDefault="0061741C" w:rsidP="003C3A43">
      <w:pPr>
        <w:jc w:val="both"/>
        <w:rPr>
          <w:rFonts w:ascii="Times New Roman" w:hAnsi="Times New Roman" w:cs="Times New Roman"/>
          <w:b/>
          <w:bCs/>
          <w:sz w:val="24"/>
          <w:szCs w:val="24"/>
          <w:u w:val="single"/>
        </w:rPr>
      </w:pPr>
    </w:p>
    <w:p w14:paraId="4574F586" w14:textId="31736A6C" w:rsidR="003C3A43" w:rsidRPr="003C3A43" w:rsidRDefault="003C3A43" w:rsidP="003C3A43">
      <w:pPr>
        <w:jc w:val="both"/>
        <w:rPr>
          <w:rFonts w:ascii="Times New Roman" w:hAnsi="Times New Roman" w:cs="Times New Roman"/>
          <w:b/>
          <w:bCs/>
          <w:sz w:val="24"/>
          <w:szCs w:val="24"/>
          <w:u w:val="single"/>
        </w:rPr>
      </w:pPr>
      <w:r w:rsidRPr="003C3A43">
        <w:rPr>
          <w:rFonts w:ascii="Times New Roman" w:hAnsi="Times New Roman" w:cs="Times New Roman"/>
          <w:b/>
          <w:bCs/>
          <w:sz w:val="24"/>
          <w:szCs w:val="24"/>
          <w:u w:val="single"/>
        </w:rPr>
        <w:t xml:space="preserve">ΠΟΣΟΣΤΟ ΕΠΙΔΟΤΗΣΗΣ </w:t>
      </w:r>
    </w:p>
    <w:p w14:paraId="32FBE15C" w14:textId="77777777" w:rsidR="003C3A43" w:rsidRPr="003C3A43" w:rsidRDefault="003C3A43" w:rsidP="003C3A43">
      <w:p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Το ποσοστό Ενίσχυσης κυμαίνεται από </w:t>
      </w:r>
      <w:r w:rsidRPr="003C3A43">
        <w:rPr>
          <w:rFonts w:ascii="Times New Roman" w:hAnsi="Times New Roman" w:cs="Times New Roman"/>
          <w:b/>
          <w:bCs/>
          <w:sz w:val="24"/>
          <w:szCs w:val="24"/>
        </w:rPr>
        <w:t>15%</w:t>
      </w:r>
      <w:r w:rsidRPr="003C3A43">
        <w:rPr>
          <w:rFonts w:ascii="Times New Roman" w:hAnsi="Times New Roman" w:cs="Times New Roman"/>
          <w:bCs/>
          <w:sz w:val="24"/>
          <w:szCs w:val="24"/>
        </w:rPr>
        <w:t xml:space="preserve"> έως </w:t>
      </w:r>
      <w:r w:rsidRPr="003C3A43">
        <w:rPr>
          <w:rFonts w:ascii="Times New Roman" w:hAnsi="Times New Roman" w:cs="Times New Roman"/>
          <w:b/>
          <w:bCs/>
          <w:sz w:val="24"/>
          <w:szCs w:val="24"/>
        </w:rPr>
        <w:t>55%</w:t>
      </w:r>
      <w:r w:rsidRPr="003C3A43">
        <w:rPr>
          <w:rFonts w:ascii="Times New Roman" w:hAnsi="Times New Roman" w:cs="Times New Roman"/>
          <w:bCs/>
          <w:sz w:val="24"/>
          <w:szCs w:val="24"/>
        </w:rPr>
        <w:t xml:space="preserve">  </w:t>
      </w:r>
    </w:p>
    <w:tbl>
      <w:tblPr>
        <w:tblStyle w:val="TableGrid"/>
        <w:tblW w:w="0" w:type="auto"/>
        <w:jc w:val="center"/>
        <w:tblLook w:val="04A0" w:firstRow="1" w:lastRow="0" w:firstColumn="1" w:lastColumn="0" w:noHBand="0" w:noVBand="1"/>
      </w:tblPr>
      <w:tblGrid>
        <w:gridCol w:w="3397"/>
        <w:gridCol w:w="2410"/>
        <w:gridCol w:w="2268"/>
      </w:tblGrid>
      <w:tr w:rsidR="003C3A43" w:rsidRPr="003C3A43" w14:paraId="7CD93475" w14:textId="77777777" w:rsidTr="003C3A43">
        <w:trPr>
          <w:jc w:val="center"/>
        </w:trPr>
        <w:tc>
          <w:tcPr>
            <w:tcW w:w="3397" w:type="dxa"/>
          </w:tcPr>
          <w:p w14:paraId="62DC729C" w14:textId="77777777" w:rsidR="003C3A43" w:rsidRPr="003C3A43" w:rsidRDefault="003C3A43" w:rsidP="003C3A43">
            <w:pPr>
              <w:spacing w:after="160" w:line="259" w:lineRule="auto"/>
              <w:jc w:val="center"/>
              <w:rPr>
                <w:rFonts w:ascii="Times New Roman" w:hAnsi="Times New Roman" w:cs="Times New Roman"/>
                <w:b/>
                <w:bCs/>
                <w:sz w:val="24"/>
                <w:szCs w:val="24"/>
              </w:rPr>
            </w:pPr>
            <w:r w:rsidRPr="003C3A43">
              <w:rPr>
                <w:rFonts w:ascii="Times New Roman" w:hAnsi="Times New Roman" w:cs="Times New Roman"/>
                <w:b/>
                <w:bCs/>
                <w:sz w:val="24"/>
                <w:szCs w:val="24"/>
              </w:rPr>
              <w:t>Μέγεθος επιχειρήσεων</w:t>
            </w:r>
          </w:p>
        </w:tc>
        <w:tc>
          <w:tcPr>
            <w:tcW w:w="2410" w:type="dxa"/>
          </w:tcPr>
          <w:p w14:paraId="3E25BEBC" w14:textId="77777777" w:rsidR="003C3A43" w:rsidRPr="003C3A43" w:rsidRDefault="003C3A43" w:rsidP="003C3A43">
            <w:pPr>
              <w:spacing w:after="160" w:line="259" w:lineRule="auto"/>
              <w:jc w:val="center"/>
              <w:rPr>
                <w:rFonts w:ascii="Times New Roman" w:hAnsi="Times New Roman" w:cs="Times New Roman"/>
                <w:b/>
                <w:bCs/>
                <w:sz w:val="24"/>
                <w:szCs w:val="24"/>
              </w:rPr>
            </w:pPr>
            <w:r w:rsidRPr="003C3A43">
              <w:rPr>
                <w:rFonts w:ascii="Times New Roman" w:hAnsi="Times New Roman" w:cs="Times New Roman"/>
                <w:b/>
                <w:bCs/>
                <w:sz w:val="24"/>
                <w:szCs w:val="24"/>
              </w:rPr>
              <w:t>Κατώτατος Προϋπολογισμός</w:t>
            </w:r>
          </w:p>
        </w:tc>
        <w:tc>
          <w:tcPr>
            <w:tcW w:w="2268" w:type="dxa"/>
          </w:tcPr>
          <w:p w14:paraId="491319FF" w14:textId="77777777" w:rsidR="003C3A43" w:rsidRPr="003C3A43" w:rsidRDefault="003C3A43" w:rsidP="003C3A43">
            <w:pPr>
              <w:spacing w:after="160" w:line="259" w:lineRule="auto"/>
              <w:jc w:val="center"/>
              <w:rPr>
                <w:rFonts w:ascii="Times New Roman" w:hAnsi="Times New Roman" w:cs="Times New Roman"/>
                <w:b/>
                <w:bCs/>
                <w:sz w:val="24"/>
                <w:szCs w:val="24"/>
              </w:rPr>
            </w:pPr>
            <w:r w:rsidRPr="003C3A43">
              <w:rPr>
                <w:rFonts w:ascii="Times New Roman" w:hAnsi="Times New Roman" w:cs="Times New Roman"/>
                <w:b/>
                <w:bCs/>
                <w:sz w:val="24"/>
                <w:szCs w:val="24"/>
              </w:rPr>
              <w:t>Ανώτατος Προϋπολογισμός</w:t>
            </w:r>
          </w:p>
        </w:tc>
      </w:tr>
      <w:tr w:rsidR="003C3A43" w:rsidRPr="003C3A43" w14:paraId="522512E1" w14:textId="77777777" w:rsidTr="003C3A43">
        <w:trPr>
          <w:jc w:val="center"/>
        </w:trPr>
        <w:tc>
          <w:tcPr>
            <w:tcW w:w="3397" w:type="dxa"/>
          </w:tcPr>
          <w:p w14:paraId="33BE7121" w14:textId="77777777" w:rsidR="003C3A43" w:rsidRPr="003C3A43" w:rsidRDefault="003C3A43" w:rsidP="003C3A43">
            <w:pPr>
              <w:spacing w:after="160" w:line="259" w:lineRule="auto"/>
              <w:jc w:val="both"/>
              <w:rPr>
                <w:rFonts w:ascii="Times New Roman" w:hAnsi="Times New Roman" w:cs="Times New Roman"/>
                <w:bCs/>
                <w:sz w:val="24"/>
                <w:szCs w:val="24"/>
              </w:rPr>
            </w:pPr>
            <w:r w:rsidRPr="003C3A43">
              <w:rPr>
                <w:rFonts w:ascii="Times New Roman" w:hAnsi="Times New Roman" w:cs="Times New Roman"/>
                <w:bCs/>
                <w:sz w:val="24"/>
                <w:szCs w:val="24"/>
              </w:rPr>
              <w:t>Πολύ μικρές-Μικρές-Μεσαίες</w:t>
            </w:r>
          </w:p>
        </w:tc>
        <w:tc>
          <w:tcPr>
            <w:tcW w:w="2410" w:type="dxa"/>
          </w:tcPr>
          <w:p w14:paraId="2C06C5F2" w14:textId="77777777" w:rsidR="003C3A43" w:rsidRPr="003C3A43" w:rsidRDefault="003C3A43" w:rsidP="003C3A43">
            <w:pPr>
              <w:spacing w:after="160" w:line="259" w:lineRule="auto"/>
              <w:jc w:val="both"/>
              <w:rPr>
                <w:rFonts w:ascii="Times New Roman" w:hAnsi="Times New Roman" w:cs="Times New Roman"/>
                <w:bCs/>
                <w:sz w:val="24"/>
                <w:szCs w:val="24"/>
              </w:rPr>
            </w:pPr>
            <w:r w:rsidRPr="003C3A43">
              <w:rPr>
                <w:rFonts w:ascii="Times New Roman" w:hAnsi="Times New Roman" w:cs="Times New Roman"/>
                <w:bCs/>
                <w:sz w:val="24"/>
                <w:szCs w:val="24"/>
              </w:rPr>
              <w:t>500.000,00€</w:t>
            </w:r>
          </w:p>
        </w:tc>
        <w:tc>
          <w:tcPr>
            <w:tcW w:w="2268" w:type="dxa"/>
          </w:tcPr>
          <w:p w14:paraId="1AE4AF48" w14:textId="77777777" w:rsidR="003C3A43" w:rsidRPr="003C3A43" w:rsidRDefault="003C3A43" w:rsidP="003C3A43">
            <w:pPr>
              <w:spacing w:after="160" w:line="259" w:lineRule="auto"/>
              <w:jc w:val="both"/>
              <w:rPr>
                <w:rFonts w:ascii="Times New Roman" w:hAnsi="Times New Roman" w:cs="Times New Roman"/>
                <w:bCs/>
                <w:sz w:val="24"/>
                <w:szCs w:val="24"/>
              </w:rPr>
            </w:pPr>
            <w:r w:rsidRPr="003C3A43">
              <w:rPr>
                <w:rFonts w:ascii="Times New Roman" w:hAnsi="Times New Roman" w:cs="Times New Roman"/>
                <w:bCs/>
                <w:sz w:val="24"/>
                <w:szCs w:val="24"/>
              </w:rPr>
              <w:t>7.500.000,00€</w:t>
            </w:r>
          </w:p>
        </w:tc>
      </w:tr>
      <w:tr w:rsidR="003C3A43" w:rsidRPr="003C3A43" w14:paraId="76642DE5" w14:textId="77777777" w:rsidTr="003C3A43">
        <w:trPr>
          <w:jc w:val="center"/>
        </w:trPr>
        <w:tc>
          <w:tcPr>
            <w:tcW w:w="3397" w:type="dxa"/>
          </w:tcPr>
          <w:p w14:paraId="735224A4" w14:textId="77777777" w:rsidR="003C3A43" w:rsidRPr="003C3A43" w:rsidRDefault="003C3A43" w:rsidP="003C3A43">
            <w:pPr>
              <w:spacing w:after="160" w:line="259" w:lineRule="auto"/>
              <w:jc w:val="both"/>
              <w:rPr>
                <w:rFonts w:ascii="Times New Roman" w:hAnsi="Times New Roman" w:cs="Times New Roman"/>
                <w:bCs/>
                <w:sz w:val="24"/>
                <w:szCs w:val="24"/>
              </w:rPr>
            </w:pPr>
            <w:r w:rsidRPr="003C3A43">
              <w:rPr>
                <w:rFonts w:ascii="Times New Roman" w:hAnsi="Times New Roman" w:cs="Times New Roman"/>
                <w:bCs/>
                <w:sz w:val="24"/>
                <w:szCs w:val="24"/>
              </w:rPr>
              <w:t>Μεγάλες</w:t>
            </w:r>
          </w:p>
        </w:tc>
        <w:tc>
          <w:tcPr>
            <w:tcW w:w="2410" w:type="dxa"/>
          </w:tcPr>
          <w:p w14:paraId="31549ECA" w14:textId="77777777" w:rsidR="003C3A43" w:rsidRPr="003C3A43" w:rsidRDefault="003C3A43" w:rsidP="003C3A43">
            <w:pPr>
              <w:spacing w:after="160" w:line="259" w:lineRule="auto"/>
              <w:jc w:val="both"/>
              <w:rPr>
                <w:rFonts w:ascii="Times New Roman" w:hAnsi="Times New Roman" w:cs="Times New Roman"/>
                <w:bCs/>
                <w:sz w:val="24"/>
                <w:szCs w:val="24"/>
              </w:rPr>
            </w:pPr>
            <w:r w:rsidRPr="003C3A43">
              <w:rPr>
                <w:rFonts w:ascii="Times New Roman" w:hAnsi="Times New Roman" w:cs="Times New Roman"/>
                <w:bCs/>
                <w:sz w:val="24"/>
                <w:szCs w:val="24"/>
              </w:rPr>
              <w:t>2.000.000,00€</w:t>
            </w:r>
          </w:p>
        </w:tc>
        <w:tc>
          <w:tcPr>
            <w:tcW w:w="2268" w:type="dxa"/>
          </w:tcPr>
          <w:p w14:paraId="165C84ED" w14:textId="77777777" w:rsidR="003C3A43" w:rsidRPr="003C3A43" w:rsidRDefault="003C3A43" w:rsidP="003C3A43">
            <w:pPr>
              <w:spacing w:after="160" w:line="259" w:lineRule="auto"/>
              <w:jc w:val="both"/>
              <w:rPr>
                <w:rFonts w:ascii="Times New Roman" w:hAnsi="Times New Roman" w:cs="Times New Roman"/>
                <w:bCs/>
                <w:sz w:val="24"/>
                <w:szCs w:val="24"/>
              </w:rPr>
            </w:pPr>
            <w:r w:rsidRPr="003C3A43">
              <w:rPr>
                <w:rFonts w:ascii="Times New Roman" w:hAnsi="Times New Roman" w:cs="Times New Roman"/>
                <w:bCs/>
                <w:sz w:val="24"/>
                <w:szCs w:val="24"/>
              </w:rPr>
              <w:t>12.500.000,00€</w:t>
            </w:r>
          </w:p>
        </w:tc>
      </w:tr>
    </w:tbl>
    <w:p w14:paraId="7C419410" w14:textId="77777777" w:rsidR="003C3A43" w:rsidRPr="003C3A43" w:rsidRDefault="003C3A43" w:rsidP="003C3A43">
      <w:pPr>
        <w:jc w:val="both"/>
        <w:rPr>
          <w:rFonts w:ascii="Times New Roman" w:hAnsi="Times New Roman" w:cs="Times New Roman"/>
          <w:bCs/>
          <w:sz w:val="24"/>
          <w:szCs w:val="24"/>
        </w:rPr>
      </w:pPr>
    </w:p>
    <w:tbl>
      <w:tblPr>
        <w:tblW w:w="8500" w:type="dxa"/>
        <w:jc w:val="center"/>
        <w:tblLayout w:type="fixed"/>
        <w:tblLook w:val="04A0" w:firstRow="1" w:lastRow="0" w:firstColumn="1" w:lastColumn="0" w:noHBand="0" w:noVBand="1"/>
      </w:tblPr>
      <w:tblGrid>
        <w:gridCol w:w="4106"/>
        <w:gridCol w:w="1560"/>
        <w:gridCol w:w="1430"/>
        <w:gridCol w:w="1404"/>
      </w:tblGrid>
      <w:tr w:rsidR="003C3A43" w:rsidRPr="003C3A43" w14:paraId="554764FC" w14:textId="77777777" w:rsidTr="0061741C">
        <w:trPr>
          <w:trHeight w:val="77"/>
          <w:jc w:val="center"/>
        </w:trPr>
        <w:tc>
          <w:tcPr>
            <w:tcW w:w="41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1CF9" w14:textId="2740F46D" w:rsidR="003C3A43" w:rsidRPr="003C3A43" w:rsidRDefault="003C3A43" w:rsidP="003C3A43">
            <w:pPr>
              <w:jc w:val="center"/>
              <w:rPr>
                <w:rFonts w:ascii="Times New Roman" w:hAnsi="Times New Roman" w:cs="Times New Roman"/>
                <w:b/>
                <w:bCs/>
                <w:sz w:val="24"/>
                <w:szCs w:val="24"/>
              </w:rPr>
            </w:pPr>
            <w:r w:rsidRPr="003C3A43">
              <w:rPr>
                <w:rFonts w:ascii="Times New Roman" w:hAnsi="Times New Roman" w:cs="Times New Roman"/>
                <w:b/>
                <w:bCs/>
                <w:sz w:val="24"/>
                <w:szCs w:val="24"/>
              </w:rPr>
              <w:t>ΠΕΡΙΦΕΡΕΙΕΣ</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1C9683B5" w14:textId="01EDB95E" w:rsidR="003C3A43" w:rsidRPr="003C3A43" w:rsidRDefault="003C3A43" w:rsidP="003C3A43">
            <w:pPr>
              <w:jc w:val="center"/>
              <w:rPr>
                <w:rFonts w:ascii="Times New Roman" w:hAnsi="Times New Roman" w:cs="Times New Roman"/>
                <w:b/>
                <w:bCs/>
                <w:sz w:val="24"/>
                <w:szCs w:val="24"/>
              </w:rPr>
            </w:pPr>
            <w:r w:rsidRPr="003C3A43">
              <w:rPr>
                <w:rFonts w:ascii="Times New Roman" w:hAnsi="Times New Roman" w:cs="Times New Roman"/>
                <w:b/>
                <w:bCs/>
                <w:sz w:val="24"/>
                <w:szCs w:val="24"/>
              </w:rPr>
              <w:t>ΜΕΓΕΘΟΣ ΕΠΙΧΕΙΡΗΣΕΩΝ</w:t>
            </w:r>
          </w:p>
        </w:tc>
      </w:tr>
      <w:tr w:rsidR="003C3A43" w:rsidRPr="003C3A43" w14:paraId="25A0562D" w14:textId="77777777" w:rsidTr="0061741C">
        <w:trPr>
          <w:trHeight w:val="77"/>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2EF9F429" w14:textId="77777777" w:rsidR="003C3A43" w:rsidRPr="003C3A43" w:rsidRDefault="003C3A43" w:rsidP="003C3A43">
            <w:pPr>
              <w:jc w:val="center"/>
              <w:rPr>
                <w:rFonts w:ascii="Times New Roman" w:hAnsi="Times New Roman" w:cs="Times New Roman"/>
                <w:b/>
                <w:bCs/>
                <w:sz w:val="24"/>
                <w:szCs w:val="24"/>
              </w:rPr>
            </w:pPr>
          </w:p>
        </w:tc>
        <w:tc>
          <w:tcPr>
            <w:tcW w:w="1560" w:type="dxa"/>
            <w:tcBorders>
              <w:top w:val="nil"/>
              <w:left w:val="nil"/>
              <w:bottom w:val="single" w:sz="4" w:space="0" w:color="auto"/>
              <w:right w:val="single" w:sz="4" w:space="0" w:color="auto"/>
            </w:tcBorders>
            <w:shd w:val="clear" w:color="auto" w:fill="auto"/>
            <w:noWrap/>
            <w:vAlign w:val="bottom"/>
            <w:hideMark/>
          </w:tcPr>
          <w:p w14:paraId="46188FDA" w14:textId="77777777" w:rsidR="003C3A43" w:rsidRPr="003C3A43" w:rsidRDefault="003C3A43" w:rsidP="003C3A43">
            <w:pPr>
              <w:jc w:val="center"/>
              <w:rPr>
                <w:rFonts w:ascii="Times New Roman" w:hAnsi="Times New Roman" w:cs="Times New Roman"/>
                <w:b/>
                <w:bCs/>
                <w:sz w:val="24"/>
                <w:szCs w:val="24"/>
              </w:rPr>
            </w:pPr>
            <w:r w:rsidRPr="003C3A43">
              <w:rPr>
                <w:rFonts w:ascii="Times New Roman" w:hAnsi="Times New Roman" w:cs="Times New Roman"/>
                <w:b/>
                <w:bCs/>
                <w:sz w:val="24"/>
                <w:szCs w:val="24"/>
              </w:rPr>
              <w:t>ΜΕΓΑΛΕΣ</w:t>
            </w:r>
          </w:p>
        </w:tc>
        <w:tc>
          <w:tcPr>
            <w:tcW w:w="1430" w:type="dxa"/>
            <w:tcBorders>
              <w:top w:val="nil"/>
              <w:left w:val="nil"/>
              <w:bottom w:val="single" w:sz="4" w:space="0" w:color="auto"/>
              <w:right w:val="single" w:sz="4" w:space="0" w:color="auto"/>
            </w:tcBorders>
            <w:shd w:val="clear" w:color="auto" w:fill="auto"/>
            <w:noWrap/>
            <w:vAlign w:val="bottom"/>
            <w:hideMark/>
          </w:tcPr>
          <w:p w14:paraId="3753788F" w14:textId="77777777" w:rsidR="003C3A43" w:rsidRPr="003C3A43" w:rsidRDefault="003C3A43" w:rsidP="003C3A43">
            <w:pPr>
              <w:jc w:val="center"/>
              <w:rPr>
                <w:rFonts w:ascii="Times New Roman" w:hAnsi="Times New Roman" w:cs="Times New Roman"/>
                <w:b/>
                <w:bCs/>
                <w:sz w:val="24"/>
                <w:szCs w:val="24"/>
              </w:rPr>
            </w:pPr>
            <w:r w:rsidRPr="003C3A43">
              <w:rPr>
                <w:rFonts w:ascii="Times New Roman" w:hAnsi="Times New Roman" w:cs="Times New Roman"/>
                <w:b/>
                <w:bCs/>
                <w:sz w:val="24"/>
                <w:szCs w:val="24"/>
              </w:rPr>
              <w:t>ΜΕΣΑΙΕΣ</w:t>
            </w:r>
          </w:p>
        </w:tc>
        <w:tc>
          <w:tcPr>
            <w:tcW w:w="1404" w:type="dxa"/>
            <w:tcBorders>
              <w:top w:val="nil"/>
              <w:left w:val="nil"/>
              <w:bottom w:val="single" w:sz="4" w:space="0" w:color="auto"/>
              <w:right w:val="single" w:sz="4" w:space="0" w:color="auto"/>
            </w:tcBorders>
            <w:shd w:val="clear" w:color="auto" w:fill="auto"/>
            <w:noWrap/>
            <w:vAlign w:val="bottom"/>
            <w:hideMark/>
          </w:tcPr>
          <w:p w14:paraId="1844E20A" w14:textId="77777777" w:rsidR="003C3A43" w:rsidRPr="003C3A43" w:rsidRDefault="003C3A43" w:rsidP="003C3A43">
            <w:pPr>
              <w:jc w:val="center"/>
              <w:rPr>
                <w:rFonts w:ascii="Times New Roman" w:hAnsi="Times New Roman" w:cs="Times New Roman"/>
                <w:b/>
                <w:bCs/>
                <w:sz w:val="24"/>
                <w:szCs w:val="24"/>
              </w:rPr>
            </w:pPr>
            <w:r w:rsidRPr="003C3A43">
              <w:rPr>
                <w:rFonts w:ascii="Times New Roman" w:hAnsi="Times New Roman" w:cs="Times New Roman"/>
                <w:b/>
                <w:bCs/>
                <w:sz w:val="24"/>
                <w:szCs w:val="24"/>
              </w:rPr>
              <w:t>ΜΙΚΡΕΣ</w:t>
            </w:r>
          </w:p>
        </w:tc>
      </w:tr>
      <w:tr w:rsidR="003C3A43" w:rsidRPr="003C3A43" w14:paraId="28C4677A" w14:textId="77777777" w:rsidTr="0061741C">
        <w:trPr>
          <w:trHeight w:val="547"/>
          <w:jc w:val="center"/>
        </w:trPr>
        <w:tc>
          <w:tcPr>
            <w:tcW w:w="4106" w:type="dxa"/>
            <w:tcBorders>
              <w:top w:val="nil"/>
              <w:left w:val="single" w:sz="4" w:space="0" w:color="auto"/>
              <w:bottom w:val="single" w:sz="4" w:space="0" w:color="auto"/>
              <w:right w:val="single" w:sz="4" w:space="0" w:color="auto"/>
            </w:tcBorders>
            <w:shd w:val="clear" w:color="auto" w:fill="auto"/>
            <w:vAlign w:val="center"/>
            <w:hideMark/>
          </w:tcPr>
          <w:p w14:paraId="1316CD33" w14:textId="77777777" w:rsidR="003C3A43" w:rsidRPr="003C3A43" w:rsidRDefault="003C3A43" w:rsidP="003C3A43">
            <w:pPr>
              <w:jc w:val="both"/>
              <w:rPr>
                <w:rFonts w:ascii="Times New Roman" w:hAnsi="Times New Roman" w:cs="Times New Roman"/>
                <w:b/>
                <w:bCs/>
                <w:sz w:val="24"/>
                <w:szCs w:val="24"/>
              </w:rPr>
            </w:pPr>
            <w:r w:rsidRPr="003C3A43">
              <w:rPr>
                <w:rFonts w:ascii="Times New Roman" w:hAnsi="Times New Roman" w:cs="Times New Roman"/>
                <w:bCs/>
                <w:sz w:val="24"/>
                <w:szCs w:val="24"/>
              </w:rPr>
              <w:t>Βόρειο Αιγαίο</w:t>
            </w:r>
            <w:r w:rsidRPr="003C3A43">
              <w:rPr>
                <w:rFonts w:ascii="Times New Roman" w:hAnsi="Times New Roman" w:cs="Times New Roman"/>
                <w:b/>
                <w:bCs/>
                <w:sz w:val="24"/>
                <w:szCs w:val="24"/>
              </w:rPr>
              <w:t xml:space="preserve"> </w:t>
            </w:r>
            <w:r w:rsidRPr="003C3A43">
              <w:rPr>
                <w:rFonts w:ascii="Times New Roman" w:hAnsi="Times New Roman" w:cs="Times New Roman"/>
                <w:bCs/>
                <w:sz w:val="24"/>
                <w:szCs w:val="24"/>
              </w:rPr>
              <w:t>/Ανατολική Μακεδονία-Θράκη</w:t>
            </w:r>
            <w:r w:rsidRPr="003C3A43">
              <w:rPr>
                <w:rFonts w:ascii="Times New Roman" w:hAnsi="Times New Roman" w:cs="Times New Roman"/>
                <w:b/>
                <w:bCs/>
                <w:sz w:val="24"/>
                <w:szCs w:val="24"/>
              </w:rPr>
              <w:t xml:space="preserve"> </w:t>
            </w:r>
            <w:r w:rsidRPr="003C3A43">
              <w:rPr>
                <w:rFonts w:ascii="Times New Roman" w:hAnsi="Times New Roman" w:cs="Times New Roman"/>
                <w:bCs/>
                <w:sz w:val="24"/>
                <w:szCs w:val="24"/>
              </w:rPr>
              <w:t>/Κεντρική Μακεδονία</w:t>
            </w:r>
            <w:r w:rsidRPr="003C3A43">
              <w:rPr>
                <w:rFonts w:ascii="Times New Roman" w:hAnsi="Times New Roman" w:cs="Times New Roman"/>
                <w:b/>
                <w:bCs/>
                <w:sz w:val="24"/>
                <w:szCs w:val="24"/>
              </w:rPr>
              <w:t xml:space="preserve"> </w:t>
            </w:r>
            <w:r w:rsidRPr="003C3A43">
              <w:rPr>
                <w:rFonts w:ascii="Times New Roman" w:hAnsi="Times New Roman" w:cs="Times New Roman"/>
                <w:bCs/>
                <w:sz w:val="24"/>
                <w:szCs w:val="24"/>
              </w:rPr>
              <w:t>/Ήπειρος/Θεσσαλία</w:t>
            </w:r>
            <w:r w:rsidRPr="003C3A43">
              <w:rPr>
                <w:rFonts w:ascii="Times New Roman" w:hAnsi="Times New Roman" w:cs="Times New Roman"/>
                <w:b/>
                <w:bCs/>
                <w:sz w:val="24"/>
                <w:szCs w:val="24"/>
              </w:rPr>
              <w:t xml:space="preserve"> </w:t>
            </w:r>
            <w:r w:rsidRPr="003C3A43">
              <w:rPr>
                <w:rFonts w:ascii="Times New Roman" w:hAnsi="Times New Roman" w:cs="Times New Roman"/>
                <w:bCs/>
                <w:sz w:val="24"/>
                <w:szCs w:val="24"/>
              </w:rPr>
              <w:t>/Δυτική Ελλάδα</w:t>
            </w:r>
            <w:r w:rsidRPr="003C3A43">
              <w:rPr>
                <w:rFonts w:ascii="Times New Roman" w:hAnsi="Times New Roman" w:cs="Times New Roman"/>
                <w:b/>
                <w:bCs/>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CCAD0A0"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45%</w:t>
            </w:r>
          </w:p>
        </w:tc>
        <w:tc>
          <w:tcPr>
            <w:tcW w:w="1430" w:type="dxa"/>
            <w:tcBorders>
              <w:top w:val="nil"/>
              <w:left w:val="nil"/>
              <w:bottom w:val="single" w:sz="4" w:space="0" w:color="auto"/>
              <w:right w:val="single" w:sz="4" w:space="0" w:color="auto"/>
            </w:tcBorders>
            <w:shd w:val="clear" w:color="auto" w:fill="auto"/>
            <w:noWrap/>
            <w:vAlign w:val="center"/>
            <w:hideMark/>
          </w:tcPr>
          <w:p w14:paraId="3BB285AF"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55%</w:t>
            </w:r>
          </w:p>
        </w:tc>
        <w:tc>
          <w:tcPr>
            <w:tcW w:w="1404" w:type="dxa"/>
            <w:tcBorders>
              <w:top w:val="nil"/>
              <w:left w:val="nil"/>
              <w:bottom w:val="single" w:sz="4" w:space="0" w:color="auto"/>
              <w:right w:val="single" w:sz="4" w:space="0" w:color="auto"/>
            </w:tcBorders>
            <w:shd w:val="clear" w:color="auto" w:fill="auto"/>
            <w:noWrap/>
            <w:vAlign w:val="center"/>
            <w:hideMark/>
          </w:tcPr>
          <w:p w14:paraId="4ABF5248"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55%</w:t>
            </w:r>
          </w:p>
        </w:tc>
      </w:tr>
      <w:tr w:rsidR="003C3A43" w:rsidRPr="003C3A43" w14:paraId="43913117" w14:textId="77777777" w:rsidTr="0061741C">
        <w:trPr>
          <w:trHeight w:val="389"/>
          <w:jc w:val="center"/>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1C28C90" w14:textId="77777777" w:rsidR="003C3A43" w:rsidRPr="003C3A43" w:rsidRDefault="003C3A43" w:rsidP="003C3A43">
            <w:pPr>
              <w:jc w:val="both"/>
              <w:rPr>
                <w:rFonts w:ascii="Times New Roman" w:hAnsi="Times New Roman" w:cs="Times New Roman"/>
                <w:b/>
                <w:bCs/>
                <w:sz w:val="24"/>
                <w:szCs w:val="24"/>
              </w:rPr>
            </w:pPr>
            <w:r w:rsidRPr="003C3A43">
              <w:rPr>
                <w:rFonts w:ascii="Times New Roman" w:hAnsi="Times New Roman" w:cs="Times New Roman"/>
                <w:bCs/>
                <w:sz w:val="24"/>
                <w:szCs w:val="24"/>
              </w:rPr>
              <w:t>Κρήτη</w:t>
            </w:r>
            <w:r w:rsidRPr="003C3A43">
              <w:rPr>
                <w:rFonts w:ascii="Times New Roman" w:hAnsi="Times New Roman" w:cs="Times New Roman"/>
                <w:b/>
                <w:bCs/>
                <w:sz w:val="24"/>
                <w:szCs w:val="24"/>
              </w:rPr>
              <w:t xml:space="preserve"> </w:t>
            </w:r>
            <w:r w:rsidRPr="003C3A43">
              <w:rPr>
                <w:rFonts w:ascii="Times New Roman" w:hAnsi="Times New Roman" w:cs="Times New Roman"/>
                <w:bCs/>
                <w:sz w:val="24"/>
                <w:szCs w:val="24"/>
              </w:rPr>
              <w:t>/Δυτική Μακεδονία /Ιόνια Νησιά /Στερεά Ελλάδα /Πελοπόννησο</w:t>
            </w:r>
            <w:r w:rsidRPr="003C3A43">
              <w:rPr>
                <w:rFonts w:ascii="Times New Roman" w:hAnsi="Times New Roman" w:cs="Times New Roman"/>
                <w:b/>
                <w:bCs/>
                <w:sz w:val="24"/>
                <w:szCs w:val="24"/>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F973099"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40%</w:t>
            </w:r>
          </w:p>
        </w:tc>
        <w:tc>
          <w:tcPr>
            <w:tcW w:w="1430" w:type="dxa"/>
            <w:tcBorders>
              <w:top w:val="nil"/>
              <w:left w:val="nil"/>
              <w:bottom w:val="single" w:sz="4" w:space="0" w:color="auto"/>
              <w:right w:val="single" w:sz="4" w:space="0" w:color="auto"/>
            </w:tcBorders>
            <w:shd w:val="clear" w:color="auto" w:fill="auto"/>
            <w:noWrap/>
            <w:vAlign w:val="center"/>
            <w:hideMark/>
          </w:tcPr>
          <w:p w14:paraId="163057F1"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50%</w:t>
            </w:r>
          </w:p>
        </w:tc>
        <w:tc>
          <w:tcPr>
            <w:tcW w:w="1404" w:type="dxa"/>
            <w:tcBorders>
              <w:top w:val="nil"/>
              <w:left w:val="nil"/>
              <w:bottom w:val="single" w:sz="4" w:space="0" w:color="auto"/>
              <w:right w:val="single" w:sz="4" w:space="0" w:color="auto"/>
            </w:tcBorders>
            <w:shd w:val="clear" w:color="auto" w:fill="auto"/>
            <w:noWrap/>
            <w:vAlign w:val="center"/>
            <w:hideMark/>
          </w:tcPr>
          <w:p w14:paraId="57AA83DA"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55%</w:t>
            </w:r>
          </w:p>
        </w:tc>
      </w:tr>
      <w:tr w:rsidR="003C3A43" w:rsidRPr="003C3A43" w14:paraId="4AA6F60C" w14:textId="77777777" w:rsidTr="0061741C">
        <w:trPr>
          <w:trHeight w:val="151"/>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415129A" w14:textId="77777777" w:rsidR="003C3A43" w:rsidRPr="003C3A43" w:rsidRDefault="003C3A43" w:rsidP="003C3A43">
            <w:p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Νότιο Αιγαίο </w:t>
            </w:r>
          </w:p>
        </w:tc>
        <w:tc>
          <w:tcPr>
            <w:tcW w:w="1560" w:type="dxa"/>
            <w:tcBorders>
              <w:top w:val="nil"/>
              <w:left w:val="nil"/>
              <w:bottom w:val="single" w:sz="4" w:space="0" w:color="auto"/>
              <w:right w:val="single" w:sz="4" w:space="0" w:color="auto"/>
            </w:tcBorders>
            <w:shd w:val="clear" w:color="auto" w:fill="auto"/>
            <w:noWrap/>
            <w:vAlign w:val="center"/>
            <w:hideMark/>
          </w:tcPr>
          <w:p w14:paraId="27777038"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30%</w:t>
            </w:r>
          </w:p>
        </w:tc>
        <w:tc>
          <w:tcPr>
            <w:tcW w:w="1430" w:type="dxa"/>
            <w:tcBorders>
              <w:top w:val="nil"/>
              <w:left w:val="nil"/>
              <w:bottom w:val="single" w:sz="4" w:space="0" w:color="auto"/>
              <w:right w:val="single" w:sz="4" w:space="0" w:color="auto"/>
            </w:tcBorders>
            <w:shd w:val="clear" w:color="auto" w:fill="auto"/>
            <w:noWrap/>
            <w:vAlign w:val="center"/>
            <w:hideMark/>
          </w:tcPr>
          <w:p w14:paraId="2C18D8C1"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40%</w:t>
            </w:r>
          </w:p>
        </w:tc>
        <w:tc>
          <w:tcPr>
            <w:tcW w:w="1404" w:type="dxa"/>
            <w:tcBorders>
              <w:top w:val="nil"/>
              <w:left w:val="nil"/>
              <w:bottom w:val="single" w:sz="4" w:space="0" w:color="auto"/>
              <w:right w:val="single" w:sz="4" w:space="0" w:color="auto"/>
            </w:tcBorders>
            <w:shd w:val="clear" w:color="auto" w:fill="auto"/>
            <w:noWrap/>
            <w:vAlign w:val="center"/>
            <w:hideMark/>
          </w:tcPr>
          <w:p w14:paraId="504037BC"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50%</w:t>
            </w:r>
          </w:p>
        </w:tc>
      </w:tr>
      <w:tr w:rsidR="003C3A43" w:rsidRPr="003C3A43" w14:paraId="6FEB24B0" w14:textId="77777777" w:rsidTr="0061741C">
        <w:trPr>
          <w:trHeight w:val="77"/>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23A0088" w14:textId="77777777" w:rsidR="003C3A43" w:rsidRPr="003C3A43" w:rsidRDefault="003C3A43" w:rsidP="003C3A43">
            <w:p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Ανατολική Αττική / Δυτική Αττική / Πειραιάς και νήσοι </w:t>
            </w:r>
          </w:p>
        </w:tc>
        <w:tc>
          <w:tcPr>
            <w:tcW w:w="1560" w:type="dxa"/>
            <w:tcBorders>
              <w:top w:val="nil"/>
              <w:left w:val="nil"/>
              <w:bottom w:val="single" w:sz="4" w:space="0" w:color="auto"/>
              <w:right w:val="single" w:sz="4" w:space="0" w:color="auto"/>
            </w:tcBorders>
            <w:shd w:val="clear" w:color="auto" w:fill="auto"/>
            <w:noWrap/>
            <w:vAlign w:val="center"/>
            <w:hideMark/>
          </w:tcPr>
          <w:p w14:paraId="0633108A"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25%</w:t>
            </w:r>
          </w:p>
        </w:tc>
        <w:tc>
          <w:tcPr>
            <w:tcW w:w="1430" w:type="dxa"/>
            <w:tcBorders>
              <w:top w:val="nil"/>
              <w:left w:val="nil"/>
              <w:bottom w:val="single" w:sz="4" w:space="0" w:color="auto"/>
              <w:right w:val="single" w:sz="4" w:space="0" w:color="auto"/>
            </w:tcBorders>
            <w:shd w:val="clear" w:color="auto" w:fill="auto"/>
            <w:noWrap/>
            <w:vAlign w:val="center"/>
            <w:hideMark/>
          </w:tcPr>
          <w:p w14:paraId="700E3B46"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35%</w:t>
            </w:r>
          </w:p>
        </w:tc>
        <w:tc>
          <w:tcPr>
            <w:tcW w:w="1404" w:type="dxa"/>
            <w:tcBorders>
              <w:top w:val="nil"/>
              <w:left w:val="nil"/>
              <w:bottom w:val="single" w:sz="4" w:space="0" w:color="auto"/>
              <w:right w:val="single" w:sz="4" w:space="0" w:color="auto"/>
            </w:tcBorders>
            <w:shd w:val="clear" w:color="auto" w:fill="auto"/>
            <w:noWrap/>
            <w:vAlign w:val="center"/>
            <w:hideMark/>
          </w:tcPr>
          <w:p w14:paraId="6D04E5A7"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45%</w:t>
            </w:r>
          </w:p>
        </w:tc>
      </w:tr>
      <w:tr w:rsidR="003C3A43" w:rsidRPr="003C3A43" w14:paraId="7362B20D" w14:textId="77777777" w:rsidTr="0061741C">
        <w:trPr>
          <w:trHeight w:val="77"/>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AEB58DE" w14:textId="77777777" w:rsidR="003C3A43" w:rsidRPr="003C3A43" w:rsidRDefault="003C3A43" w:rsidP="003C3A43">
            <w:pPr>
              <w:jc w:val="both"/>
              <w:rPr>
                <w:rFonts w:ascii="Times New Roman" w:hAnsi="Times New Roman" w:cs="Times New Roman"/>
                <w:bCs/>
                <w:sz w:val="24"/>
                <w:szCs w:val="24"/>
              </w:rPr>
            </w:pPr>
            <w:r w:rsidRPr="003C3A43">
              <w:rPr>
                <w:rFonts w:ascii="Times New Roman" w:hAnsi="Times New Roman" w:cs="Times New Roman"/>
                <w:bCs/>
                <w:sz w:val="24"/>
                <w:szCs w:val="24"/>
              </w:rPr>
              <w:t xml:space="preserve">Δυτικός τομέας Αθηνών </w:t>
            </w:r>
          </w:p>
        </w:tc>
        <w:tc>
          <w:tcPr>
            <w:tcW w:w="1560" w:type="dxa"/>
            <w:tcBorders>
              <w:top w:val="nil"/>
              <w:left w:val="nil"/>
              <w:bottom w:val="single" w:sz="4" w:space="0" w:color="auto"/>
              <w:right w:val="single" w:sz="4" w:space="0" w:color="auto"/>
            </w:tcBorders>
            <w:shd w:val="clear" w:color="auto" w:fill="auto"/>
            <w:noWrap/>
            <w:vAlign w:val="center"/>
            <w:hideMark/>
          </w:tcPr>
          <w:p w14:paraId="21BD09E7"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15%</w:t>
            </w:r>
          </w:p>
        </w:tc>
        <w:tc>
          <w:tcPr>
            <w:tcW w:w="1430" w:type="dxa"/>
            <w:tcBorders>
              <w:top w:val="nil"/>
              <w:left w:val="nil"/>
              <w:bottom w:val="single" w:sz="4" w:space="0" w:color="auto"/>
              <w:right w:val="single" w:sz="4" w:space="0" w:color="auto"/>
            </w:tcBorders>
            <w:shd w:val="clear" w:color="auto" w:fill="auto"/>
            <w:noWrap/>
            <w:vAlign w:val="center"/>
            <w:hideMark/>
          </w:tcPr>
          <w:p w14:paraId="6C31A0CE"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25%</w:t>
            </w:r>
          </w:p>
        </w:tc>
        <w:tc>
          <w:tcPr>
            <w:tcW w:w="1404" w:type="dxa"/>
            <w:tcBorders>
              <w:top w:val="nil"/>
              <w:left w:val="nil"/>
              <w:bottom w:val="single" w:sz="4" w:space="0" w:color="auto"/>
              <w:right w:val="single" w:sz="4" w:space="0" w:color="auto"/>
            </w:tcBorders>
            <w:shd w:val="clear" w:color="auto" w:fill="auto"/>
            <w:noWrap/>
            <w:vAlign w:val="center"/>
            <w:hideMark/>
          </w:tcPr>
          <w:p w14:paraId="46F30063" w14:textId="77777777" w:rsidR="003C3A43" w:rsidRPr="003C3A43" w:rsidRDefault="003C3A43" w:rsidP="0061741C">
            <w:pPr>
              <w:jc w:val="center"/>
              <w:rPr>
                <w:rFonts w:ascii="Times New Roman" w:hAnsi="Times New Roman" w:cs="Times New Roman"/>
                <w:bCs/>
                <w:sz w:val="24"/>
                <w:szCs w:val="24"/>
              </w:rPr>
            </w:pPr>
            <w:r w:rsidRPr="003C3A43">
              <w:rPr>
                <w:rFonts w:ascii="Times New Roman" w:hAnsi="Times New Roman" w:cs="Times New Roman"/>
                <w:bCs/>
                <w:sz w:val="24"/>
                <w:szCs w:val="24"/>
              </w:rPr>
              <w:t>35%</w:t>
            </w:r>
          </w:p>
        </w:tc>
      </w:tr>
    </w:tbl>
    <w:p w14:paraId="2C557FA1" w14:textId="77777777" w:rsidR="003C3A43" w:rsidRPr="003C3A43" w:rsidRDefault="003C3A43" w:rsidP="003C3A43">
      <w:pPr>
        <w:jc w:val="both"/>
        <w:rPr>
          <w:rFonts w:ascii="Times New Roman" w:hAnsi="Times New Roman" w:cs="Times New Roman"/>
          <w:bCs/>
          <w:sz w:val="24"/>
          <w:szCs w:val="24"/>
        </w:rPr>
      </w:pPr>
    </w:p>
    <w:p w14:paraId="1C7C827E" w14:textId="77777777" w:rsidR="0061741C" w:rsidRPr="0061741C" w:rsidRDefault="0061741C" w:rsidP="0061741C">
      <w:pPr>
        <w:jc w:val="both"/>
        <w:rPr>
          <w:rFonts w:ascii="Times New Roman" w:hAnsi="Times New Roman" w:cs="Times New Roman"/>
          <w:b/>
          <w:bCs/>
          <w:sz w:val="24"/>
          <w:szCs w:val="24"/>
          <w:u w:val="single"/>
        </w:rPr>
      </w:pPr>
      <w:r w:rsidRPr="0061741C">
        <w:rPr>
          <w:rFonts w:ascii="Times New Roman" w:hAnsi="Times New Roman" w:cs="Times New Roman"/>
          <w:b/>
          <w:bCs/>
          <w:sz w:val="24"/>
          <w:szCs w:val="24"/>
          <w:u w:val="single"/>
        </w:rPr>
        <w:t>ΠΡΟΥΠΟΛΟΓΙΣΜΟΣ ΔΡΑΣΗΣ</w:t>
      </w:r>
    </w:p>
    <w:p w14:paraId="6FA6D2C5" w14:textId="0F2F653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Η δημόσια ενίσχυση ανέρχεται σε </w:t>
      </w:r>
      <w:r w:rsidRPr="0061741C">
        <w:rPr>
          <w:rFonts w:ascii="Times New Roman" w:hAnsi="Times New Roman" w:cs="Times New Roman"/>
          <w:b/>
          <w:bCs/>
          <w:sz w:val="24"/>
          <w:szCs w:val="24"/>
        </w:rPr>
        <w:t>65.000.000€</w:t>
      </w:r>
      <w:r w:rsidRPr="0061741C">
        <w:rPr>
          <w:rFonts w:ascii="Times New Roman" w:hAnsi="Times New Roman" w:cs="Times New Roman"/>
          <w:bCs/>
          <w:sz w:val="24"/>
          <w:szCs w:val="24"/>
        </w:rPr>
        <w:t xml:space="preserve"> </w:t>
      </w:r>
      <w:r>
        <w:rPr>
          <w:rFonts w:ascii="Times New Roman" w:hAnsi="Times New Roman" w:cs="Times New Roman"/>
          <w:bCs/>
          <w:sz w:val="24"/>
          <w:szCs w:val="24"/>
        </w:rPr>
        <w:t xml:space="preserve">και </w:t>
      </w:r>
      <w:r w:rsidRPr="0061741C">
        <w:rPr>
          <w:rFonts w:ascii="Times New Roman" w:hAnsi="Times New Roman" w:cs="Times New Roman"/>
          <w:bCs/>
          <w:sz w:val="24"/>
          <w:szCs w:val="24"/>
        </w:rPr>
        <w:t xml:space="preserve">χρηματοδοτείται από το Ταμείο Ανάκαμψης και Ανθεκτικότητας για την περίοδο 2022-2025 </w:t>
      </w:r>
    </w:p>
    <w:p w14:paraId="6DF0B5D7" w14:textId="77777777" w:rsidR="0061741C" w:rsidRPr="0061741C" w:rsidRDefault="0061741C" w:rsidP="0061741C">
      <w:pPr>
        <w:jc w:val="both"/>
        <w:rPr>
          <w:rFonts w:ascii="Times New Roman" w:hAnsi="Times New Roman" w:cs="Times New Roman"/>
          <w:bCs/>
          <w:sz w:val="24"/>
          <w:szCs w:val="24"/>
        </w:rPr>
      </w:pPr>
    </w:p>
    <w:p w14:paraId="467CF70F" w14:textId="77777777" w:rsidR="0061741C" w:rsidRPr="0061741C" w:rsidRDefault="0061741C" w:rsidP="0061741C">
      <w:pPr>
        <w:jc w:val="both"/>
        <w:rPr>
          <w:rFonts w:ascii="Times New Roman" w:hAnsi="Times New Roman" w:cs="Times New Roman"/>
          <w:b/>
          <w:bCs/>
          <w:sz w:val="24"/>
          <w:szCs w:val="24"/>
          <w:u w:val="single"/>
        </w:rPr>
      </w:pPr>
      <w:r w:rsidRPr="0061741C">
        <w:rPr>
          <w:rFonts w:ascii="Times New Roman" w:hAnsi="Times New Roman" w:cs="Times New Roman"/>
          <w:b/>
          <w:bCs/>
          <w:sz w:val="24"/>
          <w:szCs w:val="24"/>
          <w:u w:val="single"/>
        </w:rPr>
        <w:t>ΔΙΑΡΚΕΙΑ ΥΛΟΠΟΙΗΣΗΣ</w:t>
      </w:r>
    </w:p>
    <w:p w14:paraId="431EE153"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Μέγιστη διάρκεια ολοκλήρωσης επένδυσης: 18 μήνες με δυνατότητα παράτασης 6 μηνών και το αργότερο έως την 31 Μαΐου 2025.</w:t>
      </w:r>
    </w:p>
    <w:p w14:paraId="12B7160E" w14:textId="77777777" w:rsidR="0061741C" w:rsidRPr="0061741C" w:rsidRDefault="0061741C" w:rsidP="0061741C">
      <w:pPr>
        <w:jc w:val="both"/>
        <w:rPr>
          <w:rFonts w:ascii="Times New Roman" w:hAnsi="Times New Roman" w:cs="Times New Roman"/>
          <w:b/>
          <w:bCs/>
          <w:sz w:val="24"/>
          <w:szCs w:val="24"/>
          <w:u w:val="single"/>
        </w:rPr>
      </w:pPr>
    </w:p>
    <w:p w14:paraId="14D5D5F4" w14:textId="77777777" w:rsidR="0061741C" w:rsidRPr="0061741C" w:rsidRDefault="0061741C" w:rsidP="0061741C">
      <w:pPr>
        <w:jc w:val="both"/>
        <w:rPr>
          <w:rFonts w:ascii="Times New Roman" w:hAnsi="Times New Roman" w:cs="Times New Roman"/>
          <w:b/>
          <w:bCs/>
          <w:sz w:val="24"/>
          <w:szCs w:val="24"/>
          <w:u w:val="single"/>
        </w:rPr>
      </w:pPr>
      <w:r w:rsidRPr="0061741C">
        <w:rPr>
          <w:rFonts w:ascii="Times New Roman" w:hAnsi="Times New Roman" w:cs="Times New Roman"/>
          <w:b/>
          <w:bCs/>
          <w:sz w:val="24"/>
          <w:szCs w:val="24"/>
          <w:u w:val="single"/>
        </w:rPr>
        <w:lastRenderedPageBreak/>
        <w:t xml:space="preserve">ΧΡΟΝΟΣ ΥΠΟΒΟΛΗΣ </w:t>
      </w:r>
    </w:p>
    <w:p w14:paraId="737BC750" w14:textId="53E241AE"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Οι υποβολές πραγματοποιούνται έως 12 Ιουλίου 2022, ώρα 12:00 και μέχρι εξαντλήσεως του προϋπολογισμού.</w:t>
      </w:r>
    </w:p>
    <w:p w14:paraId="289D9CE2" w14:textId="77777777" w:rsidR="0061741C" w:rsidRDefault="0061741C" w:rsidP="0061741C">
      <w:pPr>
        <w:jc w:val="both"/>
        <w:rPr>
          <w:rFonts w:ascii="Times New Roman" w:hAnsi="Times New Roman" w:cs="Times New Roman"/>
          <w:b/>
          <w:bCs/>
          <w:sz w:val="24"/>
          <w:szCs w:val="24"/>
          <w:u w:val="single"/>
        </w:rPr>
      </w:pPr>
    </w:p>
    <w:p w14:paraId="30DE7E59" w14:textId="29FEA21B" w:rsidR="0061741C" w:rsidRPr="0061741C" w:rsidRDefault="0061741C" w:rsidP="0061741C">
      <w:pPr>
        <w:jc w:val="both"/>
        <w:rPr>
          <w:rFonts w:ascii="Times New Roman" w:hAnsi="Times New Roman" w:cs="Times New Roman"/>
          <w:b/>
          <w:bCs/>
          <w:sz w:val="24"/>
          <w:szCs w:val="24"/>
          <w:u w:val="single"/>
        </w:rPr>
      </w:pPr>
      <w:r w:rsidRPr="0061741C">
        <w:rPr>
          <w:rFonts w:ascii="Times New Roman" w:hAnsi="Times New Roman" w:cs="Times New Roman"/>
          <w:b/>
          <w:bCs/>
          <w:sz w:val="24"/>
          <w:szCs w:val="24"/>
          <w:u w:val="single"/>
        </w:rPr>
        <w:t>ΔΙΑΔΙΚΑΣΙΑ ΑΞΙΟΛΟΓΗΣΗΣ</w:t>
      </w:r>
    </w:p>
    <w:p w14:paraId="62A1F62B"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Η αξιολόγηση των αιτήσεων χρηματοδότησης θα ξεκινήσει αμέσως μετά τη λήξη της προθεσμίας υποβολής των αιτήσεων. </w:t>
      </w:r>
    </w:p>
    <w:p w14:paraId="5B8A2BFD" w14:textId="419850FC" w:rsidR="003C3A43"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Η σειρά προτεραιότητας, για την αξιολόγηση των αιτήσεων, θα διαμορφωθεί λαμβάνοντας υπόψη τη διαφορά ανάμεσα στην αιτούμενη ένταση ενίσχυσης και την ένταση ενίσχυσης που προκύπτει από τον Πίνακα 2, της </w:t>
      </w:r>
      <w:proofErr w:type="spellStart"/>
      <w:r w:rsidRPr="0061741C">
        <w:rPr>
          <w:rFonts w:ascii="Times New Roman" w:hAnsi="Times New Roman" w:cs="Times New Roman"/>
          <w:bCs/>
          <w:sz w:val="24"/>
          <w:szCs w:val="24"/>
        </w:rPr>
        <w:t>υποπαραγράφου</w:t>
      </w:r>
      <w:proofErr w:type="spellEnd"/>
      <w:r w:rsidRPr="0061741C">
        <w:rPr>
          <w:rFonts w:ascii="Times New Roman" w:hAnsi="Times New Roman" w:cs="Times New Roman"/>
          <w:bCs/>
          <w:sz w:val="24"/>
          <w:szCs w:val="24"/>
        </w:rPr>
        <w:t xml:space="preserve"> 4.2, της παραγράφου 4, για τις περιφερειακές ενισχύσεις, κατά φθίνουσα σειρά. Σε περίπτωση ίδιας διαφοράς, προηγείται η αίτηση που υποβλήθηκε πρώτη, σύμφωνα με τον αριθμό πρωτοκόλλου που εκδίδεται από το Πληροφοριακό Σύστημα Υποβολής των Αιτήσεων (ΠΣ).</w:t>
      </w:r>
    </w:p>
    <w:p w14:paraId="0A7B4B63" w14:textId="3FED5BD0" w:rsidR="006706DE" w:rsidRDefault="006706DE" w:rsidP="0061741C">
      <w:pPr>
        <w:jc w:val="both"/>
        <w:rPr>
          <w:rFonts w:ascii="Times New Roman" w:hAnsi="Times New Roman" w:cs="Times New Roman"/>
          <w:bCs/>
          <w:sz w:val="24"/>
          <w:szCs w:val="24"/>
        </w:rPr>
      </w:pPr>
      <w:r>
        <w:rPr>
          <w:rFonts w:ascii="Times New Roman" w:hAnsi="Times New Roman" w:cs="Times New Roman"/>
          <w:bCs/>
          <w:sz w:val="24"/>
          <w:szCs w:val="24"/>
        </w:rPr>
        <w:br w:type="page"/>
      </w:r>
    </w:p>
    <w:p w14:paraId="3707C30C" w14:textId="5344C636" w:rsidR="0061741C" w:rsidRDefault="0061741C" w:rsidP="0061741C">
      <w:pPr>
        <w:pStyle w:val="Heading2"/>
        <w:shd w:val="clear" w:color="auto" w:fill="D9D9D9" w:themeFill="background1" w:themeFillShade="D9"/>
        <w:spacing w:before="0" w:afterLines="160" w:after="384" w:line="240" w:lineRule="auto"/>
        <w:ind w:right="43"/>
        <w:jc w:val="center"/>
        <w:rPr>
          <w:rFonts w:ascii="Times New Roman" w:hAnsi="Times New Roman" w:cs="Times New Roman"/>
          <w:b/>
          <w:bCs/>
          <w:color w:val="auto"/>
          <w:sz w:val="24"/>
          <w:szCs w:val="24"/>
        </w:rPr>
      </w:pPr>
      <w:bookmarkStart w:id="4" w:name="_Toc139885146"/>
      <w:r>
        <w:rPr>
          <w:rFonts w:ascii="Times New Roman" w:hAnsi="Times New Roman" w:cs="Times New Roman"/>
          <w:b/>
          <w:bCs/>
          <w:color w:val="auto"/>
          <w:sz w:val="24"/>
          <w:szCs w:val="24"/>
        </w:rPr>
        <w:lastRenderedPageBreak/>
        <w:t>Β</w:t>
      </w:r>
      <w:r w:rsidRPr="00957288">
        <w:rPr>
          <w:rFonts w:ascii="Times New Roman" w:hAnsi="Times New Roman" w:cs="Times New Roman"/>
          <w:b/>
          <w:bCs/>
          <w:color w:val="auto"/>
          <w:sz w:val="24"/>
          <w:szCs w:val="24"/>
        </w:rPr>
        <w:t xml:space="preserve">. </w:t>
      </w:r>
      <w:r w:rsidRPr="0061741C">
        <w:rPr>
          <w:rFonts w:ascii="Times New Roman" w:hAnsi="Times New Roman" w:cs="Times New Roman"/>
          <w:b/>
          <w:bCs/>
          <w:color w:val="auto"/>
          <w:sz w:val="24"/>
          <w:szCs w:val="24"/>
        </w:rPr>
        <w:t xml:space="preserve">Προσκλήσεις Υποβολής Προτάσεων Έργων Προγράμματος </w:t>
      </w:r>
      <w:proofErr w:type="spellStart"/>
      <w:r w:rsidRPr="0061741C">
        <w:rPr>
          <w:rFonts w:ascii="Times New Roman" w:hAnsi="Times New Roman" w:cs="Times New Roman"/>
          <w:b/>
          <w:bCs/>
          <w:color w:val="auto"/>
          <w:sz w:val="24"/>
          <w:szCs w:val="24"/>
        </w:rPr>
        <w:t>Life</w:t>
      </w:r>
      <w:proofErr w:type="spellEnd"/>
      <w:r w:rsidRPr="0061741C">
        <w:rPr>
          <w:rFonts w:ascii="Times New Roman" w:hAnsi="Times New Roman" w:cs="Times New Roman"/>
          <w:b/>
          <w:bCs/>
          <w:color w:val="auto"/>
          <w:sz w:val="24"/>
          <w:szCs w:val="24"/>
        </w:rPr>
        <w:t xml:space="preserve"> Έτους 2023</w:t>
      </w:r>
      <w:bookmarkEnd w:id="4"/>
    </w:p>
    <w:p w14:paraId="075CB728"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Δημοσιεύθηκαν οι προσκλήσεις υποβολής προτάσεων του </w:t>
      </w:r>
      <w:r w:rsidRPr="0061741C">
        <w:rPr>
          <w:rFonts w:ascii="Times New Roman" w:hAnsi="Times New Roman" w:cs="Times New Roman"/>
          <w:b/>
          <w:bCs/>
          <w:sz w:val="24"/>
          <w:szCs w:val="24"/>
        </w:rPr>
        <w:t xml:space="preserve">Ευρωπαϊκού Χρηματοδοτικού Προγράμματος </w:t>
      </w:r>
      <w:r w:rsidRPr="0061741C">
        <w:rPr>
          <w:rFonts w:ascii="Times New Roman" w:hAnsi="Times New Roman" w:cs="Times New Roman"/>
          <w:b/>
          <w:bCs/>
          <w:sz w:val="24"/>
          <w:szCs w:val="24"/>
          <w:lang w:val="en-US"/>
        </w:rPr>
        <w:t>LIFE</w:t>
      </w:r>
      <w:r w:rsidRPr="0061741C">
        <w:rPr>
          <w:rFonts w:ascii="Times New Roman" w:hAnsi="Times New Roman" w:cs="Times New Roman"/>
          <w:bCs/>
          <w:sz w:val="24"/>
          <w:szCs w:val="24"/>
        </w:rPr>
        <w:t xml:space="preserve"> </w:t>
      </w:r>
      <w:r w:rsidRPr="0061741C">
        <w:rPr>
          <w:rFonts w:ascii="Times New Roman" w:hAnsi="Times New Roman" w:cs="Times New Roman"/>
          <w:b/>
          <w:bCs/>
          <w:sz w:val="24"/>
          <w:szCs w:val="24"/>
        </w:rPr>
        <w:t xml:space="preserve">για το Περιβάλλον και τη Δράση για το Κλίμα </w:t>
      </w:r>
      <w:r w:rsidRPr="0061741C">
        <w:rPr>
          <w:rFonts w:ascii="Times New Roman" w:hAnsi="Times New Roman" w:cs="Times New Roman"/>
          <w:bCs/>
          <w:sz w:val="24"/>
          <w:szCs w:val="24"/>
        </w:rPr>
        <w:t>για το έτος 2023</w:t>
      </w:r>
      <w:bookmarkStart w:id="5" w:name="_Hlk104305362"/>
      <w:r w:rsidRPr="0061741C">
        <w:rPr>
          <w:rFonts w:ascii="Times New Roman" w:hAnsi="Times New Roman" w:cs="Times New Roman"/>
          <w:bCs/>
          <w:sz w:val="24"/>
          <w:szCs w:val="24"/>
        </w:rPr>
        <w:t xml:space="preserve">. </w:t>
      </w:r>
    </w:p>
    <w:p w14:paraId="0AEB20DF"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Το Πρόγραμμα </w:t>
      </w:r>
      <w:r w:rsidRPr="0061741C">
        <w:rPr>
          <w:rFonts w:ascii="Times New Roman" w:hAnsi="Times New Roman" w:cs="Times New Roman"/>
          <w:bCs/>
          <w:sz w:val="24"/>
          <w:szCs w:val="24"/>
          <w:lang w:val="en-US"/>
        </w:rPr>
        <w:t>LIFE</w:t>
      </w:r>
      <w:r w:rsidRPr="0061741C">
        <w:rPr>
          <w:rFonts w:ascii="Times New Roman" w:hAnsi="Times New Roman" w:cs="Times New Roman"/>
          <w:bCs/>
          <w:sz w:val="24"/>
          <w:szCs w:val="24"/>
        </w:rPr>
        <w:t xml:space="preserve"> 2021-2027 είναι δομημένο σε δύο (2) Σκέλη, καθένα από τα οποία υλοποιείται μέσω 2 </w:t>
      </w:r>
      <w:proofErr w:type="spellStart"/>
      <w:r w:rsidRPr="0061741C">
        <w:rPr>
          <w:rFonts w:ascii="Times New Roman" w:hAnsi="Times New Roman" w:cs="Times New Roman"/>
          <w:bCs/>
          <w:sz w:val="24"/>
          <w:szCs w:val="24"/>
        </w:rPr>
        <w:t>Υπο</w:t>
      </w:r>
      <w:proofErr w:type="spellEnd"/>
      <w:r w:rsidRPr="0061741C">
        <w:rPr>
          <w:rFonts w:ascii="Times New Roman" w:hAnsi="Times New Roman" w:cs="Times New Roman"/>
          <w:bCs/>
          <w:sz w:val="24"/>
          <w:szCs w:val="24"/>
        </w:rPr>
        <w:t xml:space="preserve">-προγραμμάτων. Συγκεκριμένα ανά Σκέλος τα </w:t>
      </w:r>
      <w:proofErr w:type="spellStart"/>
      <w:r w:rsidRPr="0061741C">
        <w:rPr>
          <w:rFonts w:ascii="Times New Roman" w:hAnsi="Times New Roman" w:cs="Times New Roman"/>
          <w:bCs/>
          <w:sz w:val="24"/>
          <w:szCs w:val="24"/>
        </w:rPr>
        <w:t>υπο</w:t>
      </w:r>
      <w:proofErr w:type="spellEnd"/>
      <w:r w:rsidRPr="0061741C">
        <w:rPr>
          <w:rFonts w:ascii="Times New Roman" w:hAnsi="Times New Roman" w:cs="Times New Roman"/>
          <w:bCs/>
          <w:sz w:val="24"/>
          <w:szCs w:val="24"/>
        </w:rPr>
        <w:t>-προγράμματα και ο συνολικός προϋπολογισμός για τις τρέχουσες προσκλήσεις, είναι:</w:t>
      </w:r>
    </w:p>
    <w:p w14:paraId="7958CC59" w14:textId="77777777" w:rsidR="0061741C" w:rsidRPr="0061741C" w:rsidRDefault="0061741C" w:rsidP="0061741C">
      <w:pPr>
        <w:jc w:val="both"/>
        <w:rPr>
          <w:rFonts w:ascii="Times New Roman" w:hAnsi="Times New Roman" w:cs="Times New Roman"/>
          <w:bCs/>
          <w:sz w:val="24"/>
          <w:szCs w:val="24"/>
          <w:u w:val="single"/>
        </w:rPr>
      </w:pPr>
      <w:r w:rsidRPr="0061741C">
        <w:rPr>
          <w:rFonts w:ascii="Times New Roman" w:hAnsi="Times New Roman" w:cs="Times New Roman"/>
          <w:bCs/>
          <w:sz w:val="24"/>
          <w:szCs w:val="24"/>
          <w:u w:val="single"/>
        </w:rPr>
        <w:t>Περιβάλλον</w:t>
      </w:r>
    </w:p>
    <w:p w14:paraId="5EA45B28" w14:textId="77777777" w:rsidR="0061741C" w:rsidRPr="0061741C" w:rsidRDefault="0061741C" w:rsidP="0011676F">
      <w:pPr>
        <w:numPr>
          <w:ilvl w:val="0"/>
          <w:numId w:val="17"/>
        </w:numPr>
        <w:jc w:val="both"/>
        <w:rPr>
          <w:rFonts w:ascii="Times New Roman" w:hAnsi="Times New Roman" w:cs="Times New Roman"/>
          <w:bCs/>
          <w:sz w:val="24"/>
          <w:szCs w:val="24"/>
        </w:rPr>
      </w:pP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w:t>
      </w:r>
      <w:r w:rsidRPr="0061741C">
        <w:rPr>
          <w:rFonts w:ascii="Times New Roman" w:hAnsi="Times New Roman" w:cs="Times New Roman"/>
          <w:b/>
          <w:bCs/>
          <w:sz w:val="24"/>
          <w:szCs w:val="24"/>
        </w:rPr>
        <w:t xml:space="preserve">Φύση και Βιοποικιλότητα </w:t>
      </w:r>
      <w:r w:rsidRPr="0061741C">
        <w:rPr>
          <w:rFonts w:ascii="Times New Roman" w:hAnsi="Times New Roman" w:cs="Times New Roman"/>
          <w:bCs/>
          <w:i/>
          <w:sz w:val="24"/>
          <w:szCs w:val="24"/>
        </w:rPr>
        <w:t>(</w:t>
      </w:r>
      <w:r w:rsidRPr="0061741C">
        <w:rPr>
          <w:rFonts w:ascii="Times New Roman" w:hAnsi="Times New Roman" w:cs="Times New Roman"/>
          <w:bCs/>
          <w:i/>
          <w:iCs/>
          <w:sz w:val="24"/>
          <w:szCs w:val="24"/>
        </w:rPr>
        <w:t>Προϋπολογισμός: 148.400.000€)</w:t>
      </w:r>
    </w:p>
    <w:p w14:paraId="6249EBDD" w14:textId="77777777" w:rsidR="0061741C" w:rsidRPr="0061741C" w:rsidRDefault="0061741C" w:rsidP="0011676F">
      <w:pPr>
        <w:numPr>
          <w:ilvl w:val="0"/>
          <w:numId w:val="17"/>
        </w:numPr>
        <w:jc w:val="both"/>
        <w:rPr>
          <w:rFonts w:ascii="Times New Roman" w:hAnsi="Times New Roman" w:cs="Times New Roman"/>
          <w:bCs/>
          <w:sz w:val="24"/>
          <w:szCs w:val="24"/>
        </w:rPr>
      </w:pP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w:t>
      </w:r>
      <w:r w:rsidRPr="0061741C">
        <w:rPr>
          <w:rFonts w:ascii="Times New Roman" w:hAnsi="Times New Roman" w:cs="Times New Roman"/>
          <w:b/>
          <w:bCs/>
          <w:sz w:val="24"/>
          <w:szCs w:val="24"/>
        </w:rPr>
        <w:t xml:space="preserve">Κυκλική Οικονομία και Ποιότητα Ζωής </w:t>
      </w:r>
      <w:r w:rsidRPr="0061741C">
        <w:rPr>
          <w:rFonts w:ascii="Times New Roman" w:hAnsi="Times New Roman" w:cs="Times New Roman"/>
          <w:bCs/>
          <w:i/>
          <w:sz w:val="24"/>
          <w:szCs w:val="24"/>
        </w:rPr>
        <w:t>(</w:t>
      </w:r>
      <w:r w:rsidRPr="0061741C">
        <w:rPr>
          <w:rFonts w:ascii="Times New Roman" w:hAnsi="Times New Roman" w:cs="Times New Roman"/>
          <w:bCs/>
          <w:i/>
          <w:iCs/>
          <w:sz w:val="24"/>
          <w:szCs w:val="24"/>
        </w:rPr>
        <w:t>Προϋπολογισμός: 81.000.000€)</w:t>
      </w:r>
    </w:p>
    <w:p w14:paraId="48EA716C" w14:textId="77777777" w:rsidR="0061741C" w:rsidRPr="0061741C" w:rsidRDefault="0061741C" w:rsidP="0061741C">
      <w:pPr>
        <w:jc w:val="both"/>
        <w:rPr>
          <w:rFonts w:ascii="Times New Roman" w:hAnsi="Times New Roman" w:cs="Times New Roman"/>
          <w:bCs/>
          <w:sz w:val="24"/>
          <w:szCs w:val="24"/>
          <w:u w:val="single"/>
        </w:rPr>
      </w:pPr>
      <w:r w:rsidRPr="0061741C">
        <w:rPr>
          <w:rFonts w:ascii="Times New Roman" w:hAnsi="Times New Roman" w:cs="Times New Roman"/>
          <w:bCs/>
          <w:sz w:val="24"/>
          <w:szCs w:val="24"/>
          <w:u w:val="single"/>
        </w:rPr>
        <w:t>Δράση για το Κλίμα</w:t>
      </w:r>
    </w:p>
    <w:p w14:paraId="650E2AE7" w14:textId="77777777" w:rsidR="0061741C" w:rsidRPr="0061741C" w:rsidRDefault="0061741C" w:rsidP="0011676F">
      <w:pPr>
        <w:numPr>
          <w:ilvl w:val="0"/>
          <w:numId w:val="18"/>
        </w:numPr>
        <w:jc w:val="both"/>
        <w:rPr>
          <w:rFonts w:ascii="Times New Roman" w:hAnsi="Times New Roman" w:cs="Times New Roman"/>
          <w:bCs/>
          <w:sz w:val="24"/>
          <w:szCs w:val="24"/>
        </w:rPr>
      </w:pP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w:t>
      </w:r>
      <w:r w:rsidRPr="0061741C">
        <w:rPr>
          <w:rFonts w:ascii="Times New Roman" w:hAnsi="Times New Roman" w:cs="Times New Roman"/>
          <w:b/>
          <w:bCs/>
          <w:sz w:val="24"/>
          <w:szCs w:val="24"/>
        </w:rPr>
        <w:t>Μετριασμός και Προσαρμογή στην Κλιματική Αλλαγή</w:t>
      </w:r>
      <w:r w:rsidRPr="0061741C">
        <w:rPr>
          <w:rFonts w:ascii="Times New Roman" w:hAnsi="Times New Roman" w:cs="Times New Roman"/>
          <w:bCs/>
          <w:sz w:val="24"/>
          <w:szCs w:val="24"/>
        </w:rPr>
        <w:t xml:space="preserve"> </w:t>
      </w:r>
      <w:r w:rsidRPr="0061741C">
        <w:rPr>
          <w:rFonts w:ascii="Times New Roman" w:hAnsi="Times New Roman" w:cs="Times New Roman"/>
          <w:bCs/>
          <w:i/>
          <w:sz w:val="24"/>
          <w:szCs w:val="24"/>
        </w:rPr>
        <w:t>(</w:t>
      </w:r>
      <w:r w:rsidRPr="0061741C">
        <w:rPr>
          <w:rFonts w:ascii="Times New Roman" w:hAnsi="Times New Roman" w:cs="Times New Roman"/>
          <w:bCs/>
          <w:i/>
          <w:iCs/>
          <w:sz w:val="24"/>
          <w:szCs w:val="24"/>
        </w:rPr>
        <w:t>Προϋπολογισμός: 66.350.000€)</w:t>
      </w:r>
    </w:p>
    <w:p w14:paraId="6B90C49F" w14:textId="77777777" w:rsidR="0061741C" w:rsidRPr="0061741C" w:rsidRDefault="0061741C" w:rsidP="0011676F">
      <w:pPr>
        <w:numPr>
          <w:ilvl w:val="0"/>
          <w:numId w:val="18"/>
        </w:numPr>
        <w:jc w:val="both"/>
        <w:rPr>
          <w:rFonts w:ascii="Times New Roman" w:hAnsi="Times New Roman" w:cs="Times New Roman"/>
          <w:bCs/>
          <w:sz w:val="24"/>
          <w:szCs w:val="24"/>
        </w:rPr>
      </w:pP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w:t>
      </w:r>
      <w:r w:rsidRPr="0061741C">
        <w:rPr>
          <w:rFonts w:ascii="Times New Roman" w:hAnsi="Times New Roman" w:cs="Times New Roman"/>
          <w:b/>
          <w:bCs/>
          <w:sz w:val="24"/>
          <w:szCs w:val="24"/>
        </w:rPr>
        <w:t xml:space="preserve">Μετάβαση σε Καθαρές Μορφές Ενέργειας </w:t>
      </w:r>
      <w:r w:rsidRPr="0061741C">
        <w:rPr>
          <w:rFonts w:ascii="Times New Roman" w:hAnsi="Times New Roman" w:cs="Times New Roman"/>
          <w:bCs/>
          <w:sz w:val="24"/>
          <w:szCs w:val="24"/>
        </w:rPr>
        <w:t>(</w:t>
      </w:r>
      <w:r w:rsidRPr="0061741C">
        <w:rPr>
          <w:rFonts w:ascii="Times New Roman" w:hAnsi="Times New Roman" w:cs="Times New Roman"/>
          <w:bCs/>
          <w:i/>
          <w:iCs/>
          <w:sz w:val="24"/>
          <w:szCs w:val="24"/>
        </w:rPr>
        <w:t>Προϋπολογισμός: 99.000.000€)</w:t>
      </w:r>
    </w:p>
    <w:p w14:paraId="7B3A9A69"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Οι καταληκτικές ημερομηνίες υποβολής των προτάσεων έργων λαμβάνουν χώρα τον Σεπτέμβριο και τον Νοέμβριο 2023 ανάλογα με το </w:t>
      </w: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και το είδος των έργων. </w:t>
      </w:r>
      <w:bookmarkEnd w:id="5"/>
      <w:r w:rsidRPr="0061741C">
        <w:rPr>
          <w:rFonts w:ascii="Times New Roman" w:hAnsi="Times New Roman" w:cs="Times New Roman"/>
          <w:bCs/>
          <w:sz w:val="24"/>
          <w:szCs w:val="24"/>
        </w:rPr>
        <w:t xml:space="preserve">Ενδεικτικά αναφέρονται οι παρακάτω καταληκτικές ημερομηνίες για τα </w:t>
      </w:r>
      <w:r w:rsidRPr="0061741C">
        <w:rPr>
          <w:rFonts w:ascii="Times New Roman" w:hAnsi="Times New Roman" w:cs="Times New Roman"/>
          <w:b/>
          <w:bCs/>
          <w:sz w:val="24"/>
          <w:szCs w:val="24"/>
        </w:rPr>
        <w:t xml:space="preserve">Τυπικά έργα </w:t>
      </w:r>
      <w:r w:rsidRPr="0061741C">
        <w:rPr>
          <w:rFonts w:ascii="Times New Roman" w:hAnsi="Times New Roman" w:cs="Times New Roman"/>
          <w:b/>
          <w:bCs/>
          <w:sz w:val="24"/>
          <w:szCs w:val="24"/>
          <w:lang w:val="en-US"/>
        </w:rPr>
        <w:t>LIFE</w:t>
      </w:r>
      <w:r w:rsidRPr="0061741C">
        <w:rPr>
          <w:rFonts w:ascii="Times New Roman" w:hAnsi="Times New Roman" w:cs="Times New Roman"/>
          <w:bCs/>
          <w:sz w:val="24"/>
          <w:szCs w:val="24"/>
        </w:rPr>
        <w:t>:</w:t>
      </w:r>
    </w:p>
    <w:p w14:paraId="1242B9AA" w14:textId="77777777" w:rsidR="0061741C" w:rsidRPr="0061741C" w:rsidRDefault="0061741C" w:rsidP="0011676F">
      <w:pPr>
        <w:numPr>
          <w:ilvl w:val="0"/>
          <w:numId w:val="16"/>
        </w:numPr>
        <w:jc w:val="both"/>
        <w:rPr>
          <w:rFonts w:ascii="Times New Roman" w:hAnsi="Times New Roman" w:cs="Times New Roman"/>
          <w:bCs/>
          <w:sz w:val="24"/>
          <w:szCs w:val="24"/>
        </w:rPr>
      </w:pP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Φύση και Βιοποικιλότητα, 06 Σεπτεμβρίου 2023</w:t>
      </w:r>
    </w:p>
    <w:p w14:paraId="24D96AA1" w14:textId="77777777" w:rsidR="0061741C" w:rsidRPr="0061741C" w:rsidRDefault="0061741C" w:rsidP="0011676F">
      <w:pPr>
        <w:numPr>
          <w:ilvl w:val="0"/>
          <w:numId w:val="16"/>
        </w:numPr>
        <w:jc w:val="both"/>
        <w:rPr>
          <w:rFonts w:ascii="Times New Roman" w:hAnsi="Times New Roman" w:cs="Times New Roman"/>
          <w:bCs/>
          <w:sz w:val="24"/>
          <w:szCs w:val="24"/>
        </w:rPr>
      </w:pP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Κυκλική Οικονομία και Ποιότητα Ζωής, 06 Σεπτεμβρίου 2023</w:t>
      </w:r>
    </w:p>
    <w:p w14:paraId="43DC5AFC" w14:textId="77777777" w:rsidR="0061741C" w:rsidRPr="0061741C" w:rsidRDefault="0061741C" w:rsidP="0011676F">
      <w:pPr>
        <w:numPr>
          <w:ilvl w:val="0"/>
          <w:numId w:val="16"/>
        </w:numPr>
        <w:jc w:val="both"/>
        <w:rPr>
          <w:rFonts w:ascii="Times New Roman" w:hAnsi="Times New Roman" w:cs="Times New Roman"/>
          <w:bCs/>
          <w:sz w:val="24"/>
          <w:szCs w:val="24"/>
        </w:rPr>
      </w:pP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Μετριασμός και Προσαρμογή στην Κλιματική Αλλαγή, 21 Σεπτεμβρίου 2023</w:t>
      </w:r>
    </w:p>
    <w:p w14:paraId="779B4DBC" w14:textId="77777777" w:rsidR="0061741C" w:rsidRPr="0061741C" w:rsidRDefault="0061741C" w:rsidP="0011676F">
      <w:pPr>
        <w:numPr>
          <w:ilvl w:val="0"/>
          <w:numId w:val="16"/>
        </w:numPr>
        <w:jc w:val="both"/>
        <w:rPr>
          <w:rFonts w:ascii="Times New Roman" w:hAnsi="Times New Roman" w:cs="Times New Roman"/>
          <w:bCs/>
          <w:sz w:val="24"/>
          <w:szCs w:val="24"/>
        </w:rPr>
      </w:pP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Μετάβαση σε Καθαρές Μορφές Ενέργειας, 16 Νοεμβρίου 2023</w:t>
      </w:r>
    </w:p>
    <w:p w14:paraId="1C021D7C"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Στην πρόσκληση κάθε </w:t>
      </w:r>
      <w:proofErr w:type="spellStart"/>
      <w:r w:rsidRPr="0061741C">
        <w:rPr>
          <w:rFonts w:ascii="Times New Roman" w:hAnsi="Times New Roman" w:cs="Times New Roman"/>
          <w:bCs/>
          <w:sz w:val="24"/>
          <w:szCs w:val="24"/>
        </w:rPr>
        <w:t>υποπρογράμματος</w:t>
      </w:r>
      <w:proofErr w:type="spellEnd"/>
      <w:r w:rsidRPr="0061741C">
        <w:rPr>
          <w:rFonts w:ascii="Times New Roman" w:hAnsi="Times New Roman" w:cs="Times New Roman"/>
          <w:bCs/>
          <w:sz w:val="24"/>
          <w:szCs w:val="24"/>
        </w:rPr>
        <w:t xml:space="preserve"> και είδους δράσης </w:t>
      </w:r>
      <w:r w:rsidRPr="0061741C">
        <w:rPr>
          <w:rFonts w:ascii="Times New Roman" w:hAnsi="Times New Roman" w:cs="Times New Roman"/>
          <w:bCs/>
          <w:sz w:val="24"/>
          <w:szCs w:val="24"/>
          <w:lang w:val="en-US"/>
        </w:rPr>
        <w:t>LIFE</w:t>
      </w:r>
      <w:r w:rsidRPr="0061741C">
        <w:rPr>
          <w:rFonts w:ascii="Times New Roman" w:hAnsi="Times New Roman" w:cs="Times New Roman"/>
          <w:bCs/>
          <w:sz w:val="24"/>
          <w:szCs w:val="24"/>
        </w:rPr>
        <w:t xml:space="preserve"> αναφέρονται οι θεματικές προτεραιότητες που εστιάζει η πρόσκληση, σύμφωνα με το πολυετές πρόγραμμα εργασίας της περιόδου 2021-2024. Οι προτάσεις έργων που θα υποβληθούν θα πρέπει να εστιάζουν υποχρεωτικά σε μια από αυτές τις θεματικές.</w:t>
      </w:r>
    </w:p>
    <w:p w14:paraId="1831DF03" w14:textId="6CCA5F1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Περισσότερες πληροφορίες αναφορικά με τις προσκλήσεις για τα διάφορα είδη δράσεων ανά </w:t>
      </w:r>
      <w:proofErr w:type="spellStart"/>
      <w:r w:rsidRPr="0061741C">
        <w:rPr>
          <w:rFonts w:ascii="Times New Roman" w:hAnsi="Times New Roman" w:cs="Times New Roman"/>
          <w:bCs/>
          <w:sz w:val="24"/>
          <w:szCs w:val="24"/>
        </w:rPr>
        <w:t>υποπρόγραμμα</w:t>
      </w:r>
      <w:proofErr w:type="spellEnd"/>
      <w:r w:rsidRPr="0061741C">
        <w:rPr>
          <w:rFonts w:ascii="Times New Roman" w:hAnsi="Times New Roman" w:cs="Times New Roman"/>
          <w:bCs/>
          <w:sz w:val="24"/>
          <w:szCs w:val="24"/>
        </w:rPr>
        <w:t xml:space="preserve"> καθώς και τις καταληκτικές ημερομηνίες αυτών </w:t>
      </w:r>
      <w:r>
        <w:rPr>
          <w:rFonts w:ascii="Times New Roman" w:hAnsi="Times New Roman" w:cs="Times New Roman"/>
          <w:bCs/>
          <w:sz w:val="24"/>
          <w:szCs w:val="24"/>
        </w:rPr>
        <w:t xml:space="preserve">διατίθενται στο </w:t>
      </w:r>
      <w:r>
        <w:rPr>
          <w:rFonts w:ascii="Times New Roman" w:hAnsi="Times New Roman" w:cs="Times New Roman"/>
          <w:bCs/>
          <w:sz w:val="24"/>
          <w:szCs w:val="24"/>
          <w:lang w:val="en-US"/>
        </w:rPr>
        <w:t>site</w:t>
      </w:r>
      <w:r w:rsidRPr="0061741C">
        <w:rPr>
          <w:rFonts w:ascii="Times New Roman" w:hAnsi="Times New Roman" w:cs="Times New Roman"/>
          <w:bCs/>
          <w:sz w:val="24"/>
          <w:szCs w:val="24"/>
        </w:rPr>
        <w:t xml:space="preserve"> </w:t>
      </w:r>
      <w:r>
        <w:rPr>
          <w:rFonts w:ascii="Times New Roman" w:hAnsi="Times New Roman" w:cs="Times New Roman"/>
          <w:bCs/>
          <w:sz w:val="24"/>
          <w:szCs w:val="24"/>
        </w:rPr>
        <w:t xml:space="preserve">της Ευρωπαϊκής επιτροπής - </w:t>
      </w:r>
      <w:proofErr w:type="spellStart"/>
      <w:r w:rsidRPr="0061741C">
        <w:rPr>
          <w:rFonts w:ascii="Times New Roman" w:hAnsi="Times New Roman" w:cs="Times New Roman"/>
          <w:bCs/>
          <w:sz w:val="24"/>
          <w:szCs w:val="24"/>
        </w:rPr>
        <w:t>Funding</w:t>
      </w:r>
      <w:proofErr w:type="spellEnd"/>
      <w:r w:rsidRPr="0061741C">
        <w:rPr>
          <w:rFonts w:ascii="Times New Roman" w:hAnsi="Times New Roman" w:cs="Times New Roman"/>
          <w:bCs/>
          <w:sz w:val="24"/>
          <w:szCs w:val="24"/>
        </w:rPr>
        <w:t xml:space="preserve"> &amp; </w:t>
      </w:r>
      <w:proofErr w:type="spellStart"/>
      <w:r w:rsidRPr="0061741C">
        <w:rPr>
          <w:rFonts w:ascii="Times New Roman" w:hAnsi="Times New Roman" w:cs="Times New Roman"/>
          <w:bCs/>
          <w:sz w:val="24"/>
          <w:szCs w:val="24"/>
        </w:rPr>
        <w:t>tender</w:t>
      </w:r>
      <w:proofErr w:type="spellEnd"/>
      <w:r w:rsidRPr="0061741C">
        <w:rPr>
          <w:rFonts w:ascii="Times New Roman" w:hAnsi="Times New Roman" w:cs="Times New Roman"/>
          <w:bCs/>
          <w:sz w:val="24"/>
          <w:szCs w:val="24"/>
        </w:rPr>
        <w:t xml:space="preserve"> </w:t>
      </w:r>
      <w:proofErr w:type="spellStart"/>
      <w:r w:rsidRPr="0061741C">
        <w:rPr>
          <w:rFonts w:ascii="Times New Roman" w:hAnsi="Times New Roman" w:cs="Times New Roman"/>
          <w:bCs/>
          <w:sz w:val="24"/>
          <w:szCs w:val="24"/>
        </w:rPr>
        <w:t>opportunities</w:t>
      </w:r>
      <w:proofErr w:type="spellEnd"/>
      <w:r>
        <w:rPr>
          <w:rFonts w:ascii="Times New Roman" w:hAnsi="Times New Roman" w:cs="Times New Roman"/>
          <w:bCs/>
          <w:sz w:val="24"/>
          <w:szCs w:val="24"/>
        </w:rPr>
        <w:t xml:space="preserve"> - </w:t>
      </w:r>
      <w:r w:rsidRPr="0061741C">
        <w:rPr>
          <w:rFonts w:ascii="Times New Roman" w:hAnsi="Times New Roman" w:cs="Times New Roman"/>
          <w:bCs/>
          <w:sz w:val="24"/>
          <w:szCs w:val="24"/>
        </w:rPr>
        <w:t>Πρ</w:t>
      </w:r>
      <w:r>
        <w:rPr>
          <w:rFonts w:ascii="Times New Roman" w:hAnsi="Times New Roman" w:cs="Times New Roman"/>
          <w:bCs/>
          <w:sz w:val="24"/>
          <w:szCs w:val="24"/>
        </w:rPr>
        <w:t>όγραμμα</w:t>
      </w:r>
      <w:r w:rsidRPr="0061741C">
        <w:rPr>
          <w:rFonts w:ascii="Times New Roman" w:hAnsi="Times New Roman" w:cs="Times New Roman"/>
          <w:bCs/>
          <w:sz w:val="24"/>
          <w:szCs w:val="24"/>
        </w:rPr>
        <w:t xml:space="preserve"> για το Περιβάλλον και τη Δράση για το Κλίμα (</w:t>
      </w:r>
      <w:proofErr w:type="spellStart"/>
      <w:r w:rsidRPr="0061741C">
        <w:rPr>
          <w:rFonts w:ascii="Times New Roman" w:hAnsi="Times New Roman" w:cs="Times New Roman"/>
          <w:bCs/>
          <w:sz w:val="24"/>
          <w:szCs w:val="24"/>
        </w:rPr>
        <w:t>LIFE</w:t>
      </w:r>
      <w:proofErr w:type="spellEnd"/>
      <w:r w:rsidRPr="0061741C">
        <w:rPr>
          <w:rFonts w:ascii="Times New Roman" w:hAnsi="Times New Roman" w:cs="Times New Roman"/>
          <w:bCs/>
          <w:sz w:val="24"/>
          <w:szCs w:val="24"/>
        </w:rPr>
        <w:t>)</w:t>
      </w:r>
      <w:r>
        <w:rPr>
          <w:rFonts w:ascii="Times New Roman" w:hAnsi="Times New Roman" w:cs="Times New Roman"/>
          <w:bCs/>
          <w:sz w:val="24"/>
          <w:szCs w:val="24"/>
        </w:rPr>
        <w:t>.</w:t>
      </w:r>
    </w:p>
    <w:p w14:paraId="583CCD9D" w14:textId="77777777" w:rsidR="006706DE" w:rsidRDefault="006706DE" w:rsidP="0061741C">
      <w:pPr>
        <w:jc w:val="both"/>
        <w:rPr>
          <w:rFonts w:ascii="Times New Roman" w:hAnsi="Times New Roman" w:cs="Times New Roman"/>
          <w:b/>
          <w:bCs/>
          <w:sz w:val="24"/>
          <w:szCs w:val="24"/>
        </w:rPr>
      </w:pPr>
    </w:p>
    <w:p w14:paraId="7DF45E70" w14:textId="77777777" w:rsidR="006706DE" w:rsidRDefault="006706DE" w:rsidP="0061741C">
      <w:pPr>
        <w:jc w:val="both"/>
        <w:rPr>
          <w:rFonts w:ascii="Times New Roman" w:hAnsi="Times New Roman" w:cs="Times New Roman"/>
          <w:b/>
          <w:bCs/>
          <w:sz w:val="24"/>
          <w:szCs w:val="24"/>
        </w:rPr>
      </w:pPr>
    </w:p>
    <w:p w14:paraId="4C453C13" w14:textId="2FA8E8B6" w:rsidR="0061741C" w:rsidRPr="0061741C" w:rsidRDefault="0061741C" w:rsidP="0061741C">
      <w:pPr>
        <w:jc w:val="both"/>
        <w:rPr>
          <w:rFonts w:ascii="Times New Roman" w:hAnsi="Times New Roman" w:cs="Times New Roman"/>
          <w:b/>
          <w:bCs/>
          <w:sz w:val="24"/>
          <w:szCs w:val="24"/>
        </w:rPr>
      </w:pPr>
      <w:r w:rsidRPr="0061741C">
        <w:rPr>
          <w:rFonts w:ascii="Times New Roman" w:hAnsi="Times New Roman" w:cs="Times New Roman"/>
          <w:b/>
          <w:bCs/>
          <w:sz w:val="24"/>
          <w:szCs w:val="24"/>
        </w:rPr>
        <w:lastRenderedPageBreak/>
        <w:t>Στόχοι</w:t>
      </w:r>
    </w:p>
    <w:p w14:paraId="171E7168"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Το </w:t>
      </w:r>
      <w:r w:rsidRPr="0061741C">
        <w:rPr>
          <w:rFonts w:ascii="Times New Roman" w:hAnsi="Times New Roman" w:cs="Times New Roman"/>
          <w:b/>
          <w:bCs/>
          <w:sz w:val="24"/>
          <w:szCs w:val="24"/>
        </w:rPr>
        <w:t xml:space="preserve">Πρόγραμμα </w:t>
      </w:r>
      <w:r w:rsidRPr="0061741C">
        <w:rPr>
          <w:rFonts w:ascii="Times New Roman" w:hAnsi="Times New Roman" w:cs="Times New Roman"/>
          <w:b/>
          <w:bCs/>
          <w:sz w:val="24"/>
          <w:szCs w:val="24"/>
          <w:lang w:val="en-US"/>
        </w:rPr>
        <w:t>LIFE</w:t>
      </w:r>
      <w:r w:rsidRPr="0061741C">
        <w:rPr>
          <w:rFonts w:ascii="Times New Roman" w:hAnsi="Times New Roman" w:cs="Times New Roman"/>
          <w:b/>
          <w:bCs/>
          <w:sz w:val="24"/>
          <w:szCs w:val="24"/>
        </w:rPr>
        <w:t xml:space="preserve"> αποτελεί το σημαντικότερο χρηματοδοτικό μέσο </w:t>
      </w:r>
      <w:r w:rsidRPr="0061741C">
        <w:rPr>
          <w:rFonts w:ascii="Times New Roman" w:hAnsi="Times New Roman" w:cs="Times New Roman"/>
          <w:bCs/>
          <w:sz w:val="24"/>
          <w:szCs w:val="24"/>
        </w:rPr>
        <w:t>της Ευρωπαϊκής Ένωσης (ΕΕ)</w:t>
      </w:r>
      <w:r w:rsidRPr="0061741C">
        <w:rPr>
          <w:rFonts w:ascii="Times New Roman" w:hAnsi="Times New Roman" w:cs="Times New Roman"/>
          <w:b/>
          <w:bCs/>
          <w:sz w:val="24"/>
          <w:szCs w:val="24"/>
        </w:rPr>
        <w:t xml:space="preserve"> για το Περιβάλλον και τη Δράση για το Κλίμα. </w:t>
      </w:r>
      <w:r w:rsidRPr="0061741C">
        <w:rPr>
          <w:rFonts w:ascii="Times New Roman" w:hAnsi="Times New Roman" w:cs="Times New Roman"/>
          <w:bCs/>
          <w:sz w:val="24"/>
          <w:szCs w:val="24"/>
        </w:rPr>
        <w:t>Στόχος του Προγράμματος είναι να:</w:t>
      </w:r>
    </w:p>
    <w:p w14:paraId="05F167B8" w14:textId="77777777" w:rsidR="0061741C" w:rsidRPr="0061741C" w:rsidRDefault="0061741C" w:rsidP="0011676F">
      <w:pPr>
        <w:numPr>
          <w:ilvl w:val="0"/>
          <w:numId w:val="14"/>
        </w:numPr>
        <w:jc w:val="both"/>
        <w:rPr>
          <w:rFonts w:ascii="Times New Roman" w:hAnsi="Times New Roman" w:cs="Times New Roman"/>
          <w:bCs/>
          <w:sz w:val="24"/>
          <w:szCs w:val="24"/>
        </w:rPr>
      </w:pPr>
      <w:r w:rsidRPr="0061741C">
        <w:rPr>
          <w:rFonts w:ascii="Times New Roman" w:hAnsi="Times New Roman" w:cs="Times New Roman"/>
          <w:bCs/>
          <w:sz w:val="24"/>
          <w:szCs w:val="24"/>
        </w:rPr>
        <w:t>Συμβάλλει στη μετάβαση σε μια βιώσιμη, κυκλική, ενεργειακά αποδοτική, κλιματικά ουδέτερη και ανθεκτική οικονομία που θα βασίζεται στις ανανεώσιμες πηγές ενέργειας.</w:t>
      </w:r>
    </w:p>
    <w:p w14:paraId="1924B585" w14:textId="77777777" w:rsidR="0061741C" w:rsidRPr="0061741C" w:rsidRDefault="0061741C" w:rsidP="0011676F">
      <w:pPr>
        <w:numPr>
          <w:ilvl w:val="0"/>
          <w:numId w:val="14"/>
        </w:numPr>
        <w:jc w:val="both"/>
        <w:rPr>
          <w:rFonts w:ascii="Times New Roman" w:hAnsi="Times New Roman" w:cs="Times New Roman"/>
          <w:bCs/>
          <w:sz w:val="24"/>
          <w:szCs w:val="24"/>
        </w:rPr>
      </w:pPr>
      <w:r w:rsidRPr="0061741C">
        <w:rPr>
          <w:rFonts w:ascii="Times New Roman" w:hAnsi="Times New Roman" w:cs="Times New Roman"/>
          <w:bCs/>
          <w:sz w:val="24"/>
          <w:szCs w:val="24"/>
        </w:rPr>
        <w:t>Προστατεύσει, να αποκαταστήσει και να βελτιώσει την ποιότητα του περιβάλλοντος, συμπεριλαμβανομένου του αέρα, των υδάτων και του εδάφους.</w:t>
      </w:r>
    </w:p>
    <w:p w14:paraId="30546138" w14:textId="77777777" w:rsidR="0061741C" w:rsidRPr="0061741C" w:rsidRDefault="0061741C" w:rsidP="0011676F">
      <w:pPr>
        <w:numPr>
          <w:ilvl w:val="0"/>
          <w:numId w:val="14"/>
        </w:numPr>
        <w:jc w:val="both"/>
        <w:rPr>
          <w:rFonts w:ascii="Times New Roman" w:hAnsi="Times New Roman" w:cs="Times New Roman"/>
          <w:bCs/>
          <w:sz w:val="24"/>
          <w:szCs w:val="24"/>
        </w:rPr>
      </w:pPr>
      <w:r w:rsidRPr="0061741C">
        <w:rPr>
          <w:rFonts w:ascii="Times New Roman" w:hAnsi="Times New Roman" w:cs="Times New Roman"/>
          <w:bCs/>
          <w:sz w:val="24"/>
          <w:szCs w:val="24"/>
        </w:rPr>
        <w:t>Συνδράμει στην ανάσχεση και αντιστροφή της απώλειας της βιοποικιλότητας.</w:t>
      </w:r>
    </w:p>
    <w:p w14:paraId="30227A23" w14:textId="77777777" w:rsidR="0061741C" w:rsidRPr="0061741C" w:rsidRDefault="0061741C" w:rsidP="0011676F">
      <w:pPr>
        <w:numPr>
          <w:ilvl w:val="0"/>
          <w:numId w:val="14"/>
        </w:num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Αντιμετωπίσει την υποβάθμιση των οικοσυστημάτων, μεταξύ άλλων με την υποστήριξη της εφαρμογής και της διαχείρισης του δικτύου </w:t>
      </w:r>
      <w:r w:rsidRPr="0061741C">
        <w:rPr>
          <w:rFonts w:ascii="Times New Roman" w:hAnsi="Times New Roman" w:cs="Times New Roman"/>
          <w:bCs/>
          <w:sz w:val="24"/>
          <w:szCs w:val="24"/>
          <w:lang w:val="en-US"/>
        </w:rPr>
        <w:t>Natura</w:t>
      </w:r>
      <w:r w:rsidRPr="0061741C">
        <w:rPr>
          <w:rFonts w:ascii="Times New Roman" w:hAnsi="Times New Roman" w:cs="Times New Roman"/>
          <w:bCs/>
          <w:sz w:val="24"/>
          <w:szCs w:val="24"/>
        </w:rPr>
        <w:t xml:space="preserve"> 2000.</w:t>
      </w:r>
    </w:p>
    <w:p w14:paraId="35B44D8F"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Το πρόγραμμα στηρίζει δράσεις επίδειξης, βέλτιστων πρακτικών, συντονισμού και στήριξης καθώς και έργα δημιουργίας ικανοτήτων και διακυβέρνησης.</w:t>
      </w:r>
    </w:p>
    <w:p w14:paraId="61102D4E"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Επιπλέον, στηρίζει στρατηγικά ολοκληρωμένα έργα μεγάλης κλίμακας και στρατηγικά έργα για τη φύση μεγάλης κλίμακας, τα οποία στηρίζουν την εφαρμογή των περιβαλλοντικών και κλιματικών σχεδίων, καθώς και προγράμματα και στρατηγικές που αναπτύσσονται σε περιφερειακό, </w:t>
      </w:r>
      <w:proofErr w:type="spellStart"/>
      <w:r w:rsidRPr="0061741C">
        <w:rPr>
          <w:rFonts w:ascii="Times New Roman" w:hAnsi="Times New Roman" w:cs="Times New Roman"/>
          <w:bCs/>
          <w:sz w:val="24"/>
          <w:szCs w:val="24"/>
        </w:rPr>
        <w:t>πολυπεριφερειακό</w:t>
      </w:r>
      <w:proofErr w:type="spellEnd"/>
      <w:r w:rsidRPr="0061741C">
        <w:rPr>
          <w:rFonts w:ascii="Times New Roman" w:hAnsi="Times New Roman" w:cs="Times New Roman"/>
          <w:bCs/>
          <w:sz w:val="24"/>
          <w:szCs w:val="24"/>
        </w:rPr>
        <w:t xml:space="preserve"> ή εθνικό επίπεδο.</w:t>
      </w:r>
    </w:p>
    <w:p w14:paraId="44A6F8AE" w14:textId="77777777" w:rsidR="0061741C" w:rsidRPr="0061741C" w:rsidRDefault="0061741C" w:rsidP="0061741C">
      <w:pPr>
        <w:jc w:val="both"/>
        <w:rPr>
          <w:rFonts w:ascii="Times New Roman" w:hAnsi="Times New Roman" w:cs="Times New Roman"/>
          <w:b/>
          <w:bCs/>
          <w:sz w:val="24"/>
          <w:szCs w:val="24"/>
        </w:rPr>
      </w:pPr>
      <w:r w:rsidRPr="0061741C">
        <w:rPr>
          <w:rFonts w:ascii="Times New Roman" w:hAnsi="Times New Roman" w:cs="Times New Roman"/>
          <w:b/>
          <w:bCs/>
          <w:sz w:val="24"/>
          <w:szCs w:val="24"/>
        </w:rPr>
        <w:t>Επιλέξιμες νομικές οντότητες</w:t>
      </w:r>
    </w:p>
    <w:p w14:paraId="549F01E7" w14:textId="5659C9A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Επιλέξιμες για τη συμμετοχή τους σε έργα </w:t>
      </w:r>
      <w:r w:rsidRPr="0061741C">
        <w:rPr>
          <w:rFonts w:ascii="Times New Roman" w:hAnsi="Times New Roman" w:cs="Times New Roman"/>
          <w:bCs/>
          <w:sz w:val="24"/>
          <w:szCs w:val="24"/>
          <w:lang w:val="en-US"/>
        </w:rPr>
        <w:t>LIFE</w:t>
      </w:r>
      <w:r w:rsidRPr="0061741C">
        <w:rPr>
          <w:rFonts w:ascii="Times New Roman" w:hAnsi="Times New Roman" w:cs="Times New Roman"/>
          <w:bCs/>
          <w:sz w:val="24"/>
          <w:szCs w:val="24"/>
        </w:rPr>
        <w:t xml:space="preserve"> είναι οι όλες οι νομικές οντότητες</w:t>
      </w:r>
      <w:r w:rsidR="00EF05CE">
        <w:rPr>
          <w:rFonts w:ascii="Times New Roman" w:hAnsi="Times New Roman" w:cs="Times New Roman"/>
          <w:bCs/>
          <w:sz w:val="24"/>
          <w:szCs w:val="24"/>
        </w:rPr>
        <w:t xml:space="preserve"> </w:t>
      </w:r>
      <w:r w:rsidRPr="0061741C">
        <w:rPr>
          <w:rFonts w:ascii="Times New Roman" w:hAnsi="Times New Roman" w:cs="Times New Roman"/>
          <w:bCs/>
          <w:sz w:val="24"/>
          <w:szCs w:val="24"/>
        </w:rPr>
        <w:t>που είναι εγκατεστημένες σε οποιαδήποτε από τις ακόλουθες Χώρες ή εδάφη:</w:t>
      </w:r>
    </w:p>
    <w:p w14:paraId="7318DAD3" w14:textId="77777777" w:rsidR="0061741C" w:rsidRPr="0061741C" w:rsidRDefault="0061741C" w:rsidP="0011676F">
      <w:pPr>
        <w:numPr>
          <w:ilvl w:val="0"/>
          <w:numId w:val="15"/>
        </w:numPr>
        <w:jc w:val="both"/>
        <w:rPr>
          <w:rFonts w:ascii="Times New Roman" w:hAnsi="Times New Roman" w:cs="Times New Roman"/>
          <w:bCs/>
          <w:sz w:val="24"/>
          <w:szCs w:val="24"/>
        </w:rPr>
      </w:pPr>
      <w:r w:rsidRPr="0061741C">
        <w:rPr>
          <w:rFonts w:ascii="Times New Roman" w:hAnsi="Times New Roman" w:cs="Times New Roman"/>
          <w:bCs/>
          <w:sz w:val="24"/>
          <w:szCs w:val="24"/>
        </w:rPr>
        <w:t>Κράτος Μέλος της ΕΕ ή υπερπόντια χώρα ή έδαφος συνδεδεμένα με αυτό</w:t>
      </w:r>
    </w:p>
    <w:p w14:paraId="1B8FBDAD" w14:textId="77777777" w:rsidR="0061741C" w:rsidRPr="0061741C" w:rsidRDefault="0061741C" w:rsidP="0011676F">
      <w:pPr>
        <w:numPr>
          <w:ilvl w:val="0"/>
          <w:numId w:val="15"/>
        </w:num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Τρίτη Χώρα συνδεδεμένη με το Πρόγραμμα </w:t>
      </w:r>
      <w:r w:rsidRPr="0061741C">
        <w:rPr>
          <w:rFonts w:ascii="Times New Roman" w:hAnsi="Times New Roman" w:cs="Times New Roman"/>
          <w:bCs/>
          <w:sz w:val="24"/>
          <w:szCs w:val="24"/>
          <w:lang w:val="en-US"/>
        </w:rPr>
        <w:t>LIFE</w:t>
      </w:r>
    </w:p>
    <w:p w14:paraId="746C5469"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Μπορεί να συμμετέχει κάθε νομική οντότητα που έχει συσταθεί βάσει του δικαίου της ΕΕ ή κάθε διεθνής οργανισμός.</w:t>
      </w:r>
    </w:p>
    <w:p w14:paraId="7AEF33AE" w14:textId="77777777" w:rsidR="0061741C" w:rsidRP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Τα φυσικά πρόσωπα ΔΕΝ είναι επιλέξιμα (με εξαίρεση τους αυτοαπασχολούμενους, δηλαδή τις ατομικές επιχειρήσεις, όπου η εταιρεία δεν έχει νομική προσωπικότητα ξεχωριστή από αυτή του φυσικού προσώπου).</w:t>
      </w:r>
    </w:p>
    <w:p w14:paraId="459E9E03" w14:textId="77777777" w:rsidR="0061741C" w:rsidRDefault="0061741C" w:rsidP="0061741C">
      <w:pPr>
        <w:jc w:val="both"/>
        <w:rPr>
          <w:rFonts w:ascii="Times New Roman" w:hAnsi="Times New Roman" w:cs="Times New Roman"/>
          <w:bCs/>
          <w:sz w:val="24"/>
          <w:szCs w:val="24"/>
        </w:rPr>
      </w:pPr>
      <w:r w:rsidRPr="0061741C">
        <w:rPr>
          <w:rFonts w:ascii="Times New Roman" w:hAnsi="Times New Roman" w:cs="Times New Roman"/>
          <w:bCs/>
          <w:sz w:val="24"/>
          <w:szCs w:val="24"/>
        </w:rPr>
        <w:t xml:space="preserve">Οι νομικές οντότητες που είναι εγκατεστημένες σε </w:t>
      </w:r>
      <w:r w:rsidRPr="0061741C">
        <w:rPr>
          <w:rFonts w:ascii="Times New Roman" w:hAnsi="Times New Roman" w:cs="Times New Roman"/>
          <w:bCs/>
          <w:sz w:val="24"/>
          <w:szCs w:val="24"/>
          <w:u w:val="single"/>
        </w:rPr>
        <w:t xml:space="preserve">Τρίτη Χώρα </w:t>
      </w:r>
      <w:r w:rsidRPr="0061741C">
        <w:rPr>
          <w:rFonts w:ascii="Times New Roman" w:hAnsi="Times New Roman" w:cs="Times New Roman"/>
          <w:b/>
          <w:bCs/>
          <w:sz w:val="24"/>
          <w:szCs w:val="24"/>
          <w:u w:val="single"/>
        </w:rPr>
        <w:t>μη</w:t>
      </w:r>
      <w:r w:rsidRPr="0061741C">
        <w:rPr>
          <w:rFonts w:ascii="Times New Roman" w:hAnsi="Times New Roman" w:cs="Times New Roman"/>
          <w:bCs/>
          <w:sz w:val="24"/>
          <w:szCs w:val="24"/>
          <w:u w:val="single"/>
        </w:rPr>
        <w:t xml:space="preserve"> συνδεδεμένη</w:t>
      </w:r>
      <w:r w:rsidRPr="0061741C">
        <w:rPr>
          <w:rFonts w:ascii="Times New Roman" w:hAnsi="Times New Roman" w:cs="Times New Roman"/>
          <w:bCs/>
          <w:sz w:val="24"/>
          <w:szCs w:val="24"/>
        </w:rPr>
        <w:t xml:space="preserve"> με το πρόγραμμα </w:t>
      </w:r>
      <w:proofErr w:type="spellStart"/>
      <w:r w:rsidRPr="0061741C">
        <w:rPr>
          <w:rFonts w:ascii="Times New Roman" w:hAnsi="Times New Roman" w:cs="Times New Roman"/>
          <w:bCs/>
          <w:sz w:val="24"/>
          <w:szCs w:val="24"/>
        </w:rPr>
        <w:t>LIFE</w:t>
      </w:r>
      <w:proofErr w:type="spellEnd"/>
      <w:r w:rsidRPr="0061741C">
        <w:rPr>
          <w:rFonts w:ascii="Times New Roman" w:hAnsi="Times New Roman" w:cs="Times New Roman"/>
          <w:bCs/>
          <w:sz w:val="24"/>
          <w:szCs w:val="24"/>
        </w:rPr>
        <w:t xml:space="preserve"> είναι </w:t>
      </w:r>
      <w:r w:rsidRPr="0061741C">
        <w:rPr>
          <w:rFonts w:ascii="Times New Roman" w:hAnsi="Times New Roman" w:cs="Times New Roman"/>
          <w:bCs/>
          <w:sz w:val="24"/>
          <w:szCs w:val="24"/>
          <w:u w:val="single"/>
        </w:rPr>
        <w:t>κατ’ εξαίρεση</w:t>
      </w:r>
      <w:r w:rsidRPr="0061741C">
        <w:rPr>
          <w:rFonts w:ascii="Times New Roman" w:hAnsi="Times New Roman" w:cs="Times New Roman"/>
          <w:bCs/>
          <w:sz w:val="24"/>
          <w:szCs w:val="24"/>
        </w:rPr>
        <w:t xml:space="preserve"> επιλέξιμες για συμμετοχή, εφόσον αυτό είναι αναγκαίο για την επίτευξη των σκοπών μιας συγκεκριμένης δράσης προκειμένου να εξασφαλιστεί η αποτελεσματικότητα παρεμβάσεων που πραγματοποιούνται εντός της ΕΕ. Ωστόσο, αυτές οι οντότητες συνήθως επωμίζονται το κόστος της συμμετοχής τους.</w:t>
      </w:r>
    </w:p>
    <w:p w14:paraId="1FE00963" w14:textId="337B831F" w:rsidR="00170EB6" w:rsidRDefault="00170EB6" w:rsidP="0061741C">
      <w:pPr>
        <w:jc w:val="both"/>
        <w:rPr>
          <w:rFonts w:ascii="Times New Roman" w:hAnsi="Times New Roman" w:cs="Times New Roman"/>
          <w:bCs/>
          <w:sz w:val="24"/>
          <w:szCs w:val="24"/>
        </w:rPr>
      </w:pPr>
      <w:r>
        <w:rPr>
          <w:rFonts w:ascii="Times New Roman" w:hAnsi="Times New Roman" w:cs="Times New Roman"/>
          <w:bCs/>
          <w:sz w:val="24"/>
          <w:szCs w:val="24"/>
        </w:rPr>
        <w:br w:type="page"/>
      </w:r>
    </w:p>
    <w:p w14:paraId="6DAFE261" w14:textId="6C1A11C3" w:rsidR="00170EB6" w:rsidRPr="006706DE" w:rsidRDefault="00170EB6" w:rsidP="00170EB6">
      <w:pPr>
        <w:pStyle w:val="Heading2"/>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6" w:name="_Toc139885147"/>
      <w:r>
        <w:rPr>
          <w:rFonts w:ascii="Times New Roman" w:hAnsi="Times New Roman" w:cs="Times New Roman"/>
          <w:b/>
          <w:bCs/>
          <w:color w:val="auto"/>
          <w:sz w:val="24"/>
          <w:szCs w:val="24"/>
        </w:rPr>
        <w:lastRenderedPageBreak/>
        <w:t>Γ</w:t>
      </w:r>
      <w:r w:rsidRPr="006706DE">
        <w:rPr>
          <w:rFonts w:ascii="Times New Roman" w:hAnsi="Times New Roman" w:cs="Times New Roman"/>
          <w:b/>
          <w:bCs/>
          <w:color w:val="auto"/>
          <w:sz w:val="24"/>
          <w:szCs w:val="24"/>
        </w:rPr>
        <w:t xml:space="preserve">. </w:t>
      </w:r>
      <w:r w:rsidRPr="00170EB6">
        <w:rPr>
          <w:rFonts w:ascii="Times New Roman" w:hAnsi="Times New Roman" w:cs="Times New Roman"/>
          <w:b/>
          <w:bCs/>
          <w:color w:val="auto"/>
          <w:sz w:val="24"/>
          <w:szCs w:val="24"/>
        </w:rPr>
        <w:t>Ε</w:t>
      </w:r>
      <w:r>
        <w:rPr>
          <w:rFonts w:ascii="Times New Roman" w:hAnsi="Times New Roman" w:cs="Times New Roman"/>
          <w:b/>
          <w:bCs/>
          <w:color w:val="auto"/>
          <w:sz w:val="24"/>
          <w:szCs w:val="24"/>
        </w:rPr>
        <w:t>νιαίοι κανόνες στην Ευρώπη για τα «Πράσινα Κτίρια» και τη Βιώσιμη Ανάπτυξη</w:t>
      </w:r>
      <w:bookmarkEnd w:id="6"/>
    </w:p>
    <w:p w14:paraId="3E273836"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Οι πρόσφατες ρυθμιστικές εξελίξεις και οι κυβερνητικές αποφάσεις των κρατών μελών της ΕΕ υποδηλώνουν την </w:t>
      </w:r>
      <w:r w:rsidRPr="00170EB6">
        <w:rPr>
          <w:rFonts w:ascii="Times New Roman" w:hAnsi="Times New Roman" w:cs="Times New Roman"/>
          <w:b/>
          <w:bCs/>
          <w:sz w:val="24"/>
          <w:szCs w:val="24"/>
        </w:rPr>
        <w:t>ανάγκη για περισσότερες επενδύσεις βιώσιμης ανάπτυξης</w:t>
      </w:r>
      <w:r w:rsidRPr="00170EB6">
        <w:rPr>
          <w:rFonts w:ascii="Times New Roman" w:hAnsi="Times New Roman" w:cs="Times New Roman"/>
          <w:bCs/>
          <w:sz w:val="24"/>
          <w:szCs w:val="24"/>
        </w:rPr>
        <w:t> και για πιο στρατηγικές ενέργειες στην κατεύθυνση ταχύτερη προσαρμογή των δραστηριοτήτων στις παραμέτρους των οικοσυστημάτων που τις φιλοξενούν. Για την αποτελεσματική χάραξη της κοινής πορείας των κρατών, είναι σημαντικό να υπάρξει κατανόηση του τι είναι η</w:t>
      </w:r>
      <w:r w:rsidRPr="00170EB6">
        <w:rPr>
          <w:rFonts w:ascii="Times New Roman" w:hAnsi="Times New Roman" w:cs="Times New Roman"/>
          <w:b/>
          <w:bCs/>
          <w:sz w:val="24"/>
          <w:szCs w:val="24"/>
        </w:rPr>
        <w:t xml:space="preserve"> βιώσιμη χρηματοδότηση</w:t>
      </w:r>
      <w:r w:rsidRPr="00170EB6">
        <w:rPr>
          <w:rFonts w:ascii="Times New Roman" w:hAnsi="Times New Roman" w:cs="Times New Roman"/>
          <w:bCs/>
          <w:sz w:val="24"/>
          <w:szCs w:val="24"/>
        </w:rPr>
        <w:t xml:space="preserve"> και πώς επηρεάζει τον επιχειρηματικό κόσμο, καθώς η συνδρομή του ιδιωτικού τομέα αποτελεί απαραίτητη προϋπόθεση για την υλοποίηση του μεγαλόπνοου αυτού σχεδίου. </w:t>
      </w:r>
    </w:p>
    <w:p w14:paraId="01A43335"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Η υπογραφή της Ευρωπαϊκής Πράσινης Συμφωνίας το 2019 αποτέλεσε μια προσπάθεια ένταξης της διεθνούς επενδυτικής δραστηριότητας σε ένα ρυθμιστικό πλαίσιο που εξασφαλίζει τη βιωσιμότητα και δημιουργεί  κίνητρα για τη διοχέτευση επενδύσεων στην κατεύθυνση των ανανεώσιμων πηγών ενέργειας, της κυκλικής οικονομίας και της προστασίας της βιοποικιλότητας. Ο στόχος της Πράσινης Συμφωνίας είναι η επίτευξη μιας κλιματικά ουδέτερης οικονομίας μέχρι το 2050. Για την εκπλήρωση αυτών των </w:t>
      </w:r>
      <w:r w:rsidRPr="00170EB6">
        <w:rPr>
          <w:rFonts w:ascii="Times New Roman" w:hAnsi="Times New Roman" w:cs="Times New Roman"/>
          <w:b/>
          <w:bCs/>
          <w:sz w:val="24"/>
          <w:szCs w:val="24"/>
        </w:rPr>
        <w:t>κλιματικών στόχων</w:t>
      </w:r>
      <w:r w:rsidRPr="00170EB6">
        <w:rPr>
          <w:rFonts w:ascii="Times New Roman" w:hAnsi="Times New Roman" w:cs="Times New Roman"/>
          <w:bCs/>
          <w:sz w:val="24"/>
          <w:szCs w:val="24"/>
        </w:rPr>
        <w:t>, η Πράσινη Συμφωνία περιλαμβάνει ένα επενδυτικό σχέδιο </w:t>
      </w:r>
      <w:r w:rsidRPr="00170EB6">
        <w:rPr>
          <w:rFonts w:ascii="Times New Roman" w:hAnsi="Times New Roman" w:cs="Times New Roman"/>
          <w:b/>
          <w:bCs/>
          <w:sz w:val="24"/>
          <w:szCs w:val="24"/>
        </w:rPr>
        <w:t>1 τρις ευρώ</w:t>
      </w:r>
      <w:r w:rsidRPr="00170EB6">
        <w:rPr>
          <w:rFonts w:ascii="Times New Roman" w:hAnsi="Times New Roman" w:cs="Times New Roman"/>
          <w:bCs/>
          <w:sz w:val="24"/>
          <w:szCs w:val="24"/>
        </w:rPr>
        <w:t> για τα επόμενα 10 χρόνια.</w:t>
      </w:r>
    </w:p>
    <w:p w14:paraId="134D2597"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Όπως συμβαίνει συνήθως κατά την εφαρμογή μιας πρωτότυπης διαδικασίας, η πολυπλοκότητά της προκαλεί σύγχυση στην αγορά, η οποία εκδηλώνεται με ερμηνευτικά ζητήματα στην υποβολή εκθέσεων, με εμφάνιση ρυθμιστικών κενών και διαπίστωση έλλειψης δεδομένων. Ελλείψει ενός τυπικού συνόλου ορισμών και κανόνων για την ορολογία που χρησιμοποιείται, δημιουργούνται περιθώρια ερμηνείας ως προς τον τρόπο συμμόρφωσης στους εν ισχύ κανονισμούς ενώ γίνεται δύσκολο για της εταιρείες και τους επενδυτές να ορίσουν τι είναι και τι δεν είναι «πράσινο».</w:t>
      </w:r>
    </w:p>
    <w:p w14:paraId="11A7C137"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 xml:space="preserve">Το παραπάνω ζήτημα αντιμετωπίζεται με τον Κανονισμό (ΕΕ) 2020/852 για την Ταξινομία, που συνιστά βασικό μέρος του μεταρρυθμιστικού σχεδίου της ευρωπαϊκής πολιτικής για τα βιώσιμα οικονομικά και αναπτύχθηκε ως εργαλείο για την ώθηση κεφαλαίων για τη μεταμόρφωση της οικονομίας της Ευρώπης. Καθιερώνει ένα πλαίσιο για την διευκόλυνση των βιώσιμων επενδύσεων, παρέχοντας ουσιαστικά έναν κατάλογο βιώσιμων οικονομικών δραστηριοτήτων επιχειρώντας να οικοδομήσει εμπιστοσύνη στη βιώσιμη χρηματοδότηση. </w:t>
      </w:r>
    </w:p>
    <w:p w14:paraId="6BAC122A"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Ο κανονισμός της ταξινομίας θέτει </w:t>
      </w:r>
      <w:r w:rsidRPr="00170EB6">
        <w:rPr>
          <w:rFonts w:ascii="Times New Roman" w:hAnsi="Times New Roman" w:cs="Times New Roman"/>
          <w:b/>
          <w:bCs/>
          <w:sz w:val="24"/>
          <w:szCs w:val="24"/>
        </w:rPr>
        <w:t>έξι περιβαλλοντικούς στόχους</w:t>
      </w:r>
      <w:r w:rsidRPr="00170EB6">
        <w:rPr>
          <w:rFonts w:ascii="Times New Roman" w:hAnsi="Times New Roman" w:cs="Times New Roman"/>
          <w:bCs/>
          <w:sz w:val="24"/>
          <w:szCs w:val="24"/>
        </w:rPr>
        <w:t>:</w:t>
      </w:r>
    </w:p>
    <w:p w14:paraId="4341B9C6" w14:textId="77777777" w:rsidR="00170EB6" w:rsidRPr="00170EB6" w:rsidRDefault="00170EB6" w:rsidP="00170EB6">
      <w:pPr>
        <w:numPr>
          <w:ilvl w:val="0"/>
          <w:numId w:val="30"/>
        </w:numPr>
        <w:jc w:val="both"/>
        <w:rPr>
          <w:rFonts w:ascii="Times New Roman" w:hAnsi="Times New Roman" w:cs="Times New Roman"/>
          <w:bCs/>
          <w:sz w:val="24"/>
          <w:szCs w:val="24"/>
        </w:rPr>
      </w:pPr>
      <w:r w:rsidRPr="00170EB6">
        <w:rPr>
          <w:rFonts w:ascii="Times New Roman" w:hAnsi="Times New Roman" w:cs="Times New Roman"/>
          <w:bCs/>
          <w:sz w:val="24"/>
          <w:szCs w:val="24"/>
        </w:rPr>
        <w:t>Μείωση των επιπτώσεων της κλιματικής αλλαγής</w:t>
      </w:r>
    </w:p>
    <w:p w14:paraId="4B80C15D" w14:textId="77777777" w:rsidR="00170EB6" w:rsidRPr="00170EB6" w:rsidRDefault="00170EB6" w:rsidP="00170EB6">
      <w:pPr>
        <w:numPr>
          <w:ilvl w:val="0"/>
          <w:numId w:val="30"/>
        </w:numPr>
        <w:jc w:val="both"/>
        <w:rPr>
          <w:rFonts w:ascii="Times New Roman" w:hAnsi="Times New Roman" w:cs="Times New Roman"/>
          <w:bCs/>
          <w:sz w:val="24"/>
          <w:szCs w:val="24"/>
        </w:rPr>
      </w:pPr>
      <w:r w:rsidRPr="00170EB6">
        <w:rPr>
          <w:rFonts w:ascii="Times New Roman" w:hAnsi="Times New Roman" w:cs="Times New Roman"/>
          <w:bCs/>
          <w:sz w:val="24"/>
          <w:szCs w:val="24"/>
        </w:rPr>
        <w:t>Προσαρμογή στην κλιματική αλλαγή</w:t>
      </w:r>
    </w:p>
    <w:p w14:paraId="2586DDDC" w14:textId="77777777" w:rsidR="00170EB6" w:rsidRPr="00170EB6" w:rsidRDefault="00170EB6" w:rsidP="00170EB6">
      <w:pPr>
        <w:numPr>
          <w:ilvl w:val="0"/>
          <w:numId w:val="30"/>
        </w:numPr>
        <w:jc w:val="both"/>
        <w:rPr>
          <w:rFonts w:ascii="Times New Roman" w:hAnsi="Times New Roman" w:cs="Times New Roman"/>
          <w:bCs/>
          <w:sz w:val="24"/>
          <w:szCs w:val="24"/>
        </w:rPr>
      </w:pPr>
      <w:r w:rsidRPr="00170EB6">
        <w:rPr>
          <w:rFonts w:ascii="Times New Roman" w:hAnsi="Times New Roman" w:cs="Times New Roman"/>
          <w:bCs/>
          <w:sz w:val="24"/>
          <w:szCs w:val="24"/>
        </w:rPr>
        <w:t>Βιώσιμη χρήση και προστασία των υδατικών και των θαλάσσιων πόρων</w:t>
      </w:r>
    </w:p>
    <w:p w14:paraId="41FA08EE" w14:textId="77777777" w:rsidR="00170EB6" w:rsidRPr="00170EB6" w:rsidRDefault="00170EB6" w:rsidP="00170EB6">
      <w:pPr>
        <w:numPr>
          <w:ilvl w:val="0"/>
          <w:numId w:val="30"/>
        </w:numPr>
        <w:jc w:val="both"/>
        <w:rPr>
          <w:rFonts w:ascii="Times New Roman" w:hAnsi="Times New Roman" w:cs="Times New Roman"/>
          <w:bCs/>
          <w:sz w:val="24"/>
          <w:szCs w:val="24"/>
        </w:rPr>
      </w:pPr>
      <w:r w:rsidRPr="00170EB6">
        <w:rPr>
          <w:rFonts w:ascii="Times New Roman" w:hAnsi="Times New Roman" w:cs="Times New Roman"/>
          <w:bCs/>
          <w:sz w:val="24"/>
          <w:szCs w:val="24"/>
        </w:rPr>
        <w:t>Μετάβαση σε μια κυκλική οικονομία</w:t>
      </w:r>
    </w:p>
    <w:p w14:paraId="30355B4B" w14:textId="77777777" w:rsidR="00170EB6" w:rsidRPr="00170EB6" w:rsidRDefault="00170EB6" w:rsidP="00170EB6">
      <w:pPr>
        <w:numPr>
          <w:ilvl w:val="0"/>
          <w:numId w:val="30"/>
        </w:numPr>
        <w:jc w:val="both"/>
        <w:rPr>
          <w:rFonts w:ascii="Times New Roman" w:hAnsi="Times New Roman" w:cs="Times New Roman"/>
          <w:bCs/>
          <w:sz w:val="24"/>
          <w:szCs w:val="24"/>
        </w:rPr>
      </w:pPr>
      <w:r w:rsidRPr="00170EB6">
        <w:rPr>
          <w:rFonts w:ascii="Times New Roman" w:hAnsi="Times New Roman" w:cs="Times New Roman"/>
          <w:bCs/>
          <w:sz w:val="24"/>
          <w:szCs w:val="24"/>
        </w:rPr>
        <w:t>Πρόληψη και έλεγχος της ρύπανσης</w:t>
      </w:r>
    </w:p>
    <w:p w14:paraId="09FC1501" w14:textId="77777777" w:rsidR="00170EB6" w:rsidRPr="00170EB6" w:rsidRDefault="00170EB6" w:rsidP="00170EB6">
      <w:pPr>
        <w:numPr>
          <w:ilvl w:val="0"/>
          <w:numId w:val="30"/>
        </w:numPr>
        <w:jc w:val="both"/>
        <w:rPr>
          <w:rFonts w:ascii="Times New Roman" w:hAnsi="Times New Roman" w:cs="Times New Roman"/>
          <w:bCs/>
          <w:sz w:val="24"/>
          <w:szCs w:val="24"/>
        </w:rPr>
      </w:pPr>
      <w:r w:rsidRPr="00170EB6">
        <w:rPr>
          <w:rFonts w:ascii="Times New Roman" w:hAnsi="Times New Roman" w:cs="Times New Roman"/>
          <w:bCs/>
          <w:sz w:val="24"/>
          <w:szCs w:val="24"/>
        </w:rPr>
        <w:t>Προστασία και αποκατάσταση της βιοποικιλότητας και των οικοσυστημάτων</w:t>
      </w:r>
    </w:p>
    <w:p w14:paraId="26BE8927"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lastRenderedPageBreak/>
        <w:t>Επιπρόσθετα των ελάχιστων διασφαλίσεων, η ΕΕ αναμένει από τις εταιρείες </w:t>
      </w:r>
      <w:r w:rsidRPr="00170EB6">
        <w:rPr>
          <w:rFonts w:ascii="Times New Roman" w:hAnsi="Times New Roman" w:cs="Times New Roman"/>
          <w:b/>
          <w:bCs/>
          <w:sz w:val="24"/>
          <w:szCs w:val="24"/>
        </w:rPr>
        <w:t>να συμβάλλουν σημαντικά στην επίτευξη ενός ή περισσοτέρων</w:t>
      </w:r>
      <w:r w:rsidRPr="00170EB6">
        <w:rPr>
          <w:rFonts w:ascii="Times New Roman" w:hAnsi="Times New Roman" w:cs="Times New Roman"/>
          <w:bCs/>
          <w:sz w:val="24"/>
          <w:szCs w:val="24"/>
        </w:rPr>
        <w:t> από τους περιβαλλοντικούς στόχους και </w:t>
      </w:r>
      <w:r w:rsidRPr="00170EB6">
        <w:rPr>
          <w:rFonts w:ascii="Times New Roman" w:hAnsi="Times New Roman" w:cs="Times New Roman"/>
          <w:b/>
          <w:bCs/>
          <w:sz w:val="24"/>
          <w:szCs w:val="24"/>
        </w:rPr>
        <w:t>να μην επιβαρύνουν σημαντικά κανέναν από τους υπόλοιπους πέντε.</w:t>
      </w:r>
      <w:r w:rsidRPr="00170EB6">
        <w:rPr>
          <w:rFonts w:ascii="Times New Roman" w:hAnsi="Times New Roman" w:cs="Times New Roman"/>
          <w:bCs/>
          <w:sz w:val="24"/>
          <w:szCs w:val="24"/>
        </w:rPr>
        <w:t> Η ταξινομία περιγράφει επίσης δύο κύριους τύπους δραστηριοτήτων που συμβάλλουν σημαντικά σε αυτούς τους στόχους:</w:t>
      </w:r>
    </w:p>
    <w:p w14:paraId="76A06313" w14:textId="77777777" w:rsidR="00170EB6" w:rsidRPr="00170EB6" w:rsidRDefault="00170EB6" w:rsidP="00170EB6">
      <w:pPr>
        <w:numPr>
          <w:ilvl w:val="0"/>
          <w:numId w:val="31"/>
        </w:numPr>
        <w:jc w:val="both"/>
        <w:rPr>
          <w:rFonts w:ascii="Times New Roman" w:hAnsi="Times New Roman" w:cs="Times New Roman"/>
          <w:bCs/>
          <w:sz w:val="24"/>
          <w:szCs w:val="24"/>
        </w:rPr>
      </w:pPr>
      <w:r w:rsidRPr="00170EB6">
        <w:rPr>
          <w:rFonts w:ascii="Times New Roman" w:hAnsi="Times New Roman" w:cs="Times New Roman"/>
          <w:bCs/>
          <w:sz w:val="24"/>
          <w:szCs w:val="24"/>
        </w:rPr>
        <w:t>Οικονομικές δραστηριότητες που συνεισφέρουν σημαντικά από μόνες τους, για παράδειγμα μια περιβαλλοντικά βιώσιμη δραστηριότητα</w:t>
      </w:r>
    </w:p>
    <w:p w14:paraId="0205BBCE" w14:textId="77777777" w:rsidR="00170EB6" w:rsidRPr="00170EB6" w:rsidRDefault="00170EB6" w:rsidP="00170EB6">
      <w:pPr>
        <w:numPr>
          <w:ilvl w:val="0"/>
          <w:numId w:val="31"/>
        </w:numPr>
        <w:jc w:val="both"/>
        <w:rPr>
          <w:rFonts w:ascii="Times New Roman" w:hAnsi="Times New Roman" w:cs="Times New Roman"/>
          <w:bCs/>
          <w:sz w:val="24"/>
          <w:szCs w:val="24"/>
        </w:rPr>
      </w:pPr>
      <w:r w:rsidRPr="00170EB6">
        <w:rPr>
          <w:rFonts w:ascii="Times New Roman" w:hAnsi="Times New Roman" w:cs="Times New Roman"/>
          <w:bCs/>
          <w:sz w:val="24"/>
          <w:szCs w:val="24"/>
        </w:rPr>
        <w:t>Οικονομικές δραστηριότητες που υποστηρίζουν άλλες βιώσιμες δραστηριότητες, για παράδειγμα επένδυση σε ένα ομόλογο που χρηματοδοτεί ένα έργο βιώσιμης ανάπτυξης.</w:t>
      </w:r>
    </w:p>
    <w:p w14:paraId="31027087"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Η ταξινομία εφαρμόζει απαιτήσεις γνωστοποίησης για </w:t>
      </w:r>
      <w:r w:rsidRPr="00170EB6">
        <w:rPr>
          <w:rFonts w:ascii="Times New Roman" w:hAnsi="Times New Roman" w:cs="Times New Roman"/>
          <w:b/>
          <w:bCs/>
          <w:sz w:val="24"/>
          <w:szCs w:val="24"/>
        </w:rPr>
        <w:t>όλες τις εταιρείες που είναι ήδη υποχρεωμένες να παρέχουν έκθεση μη χρηματοοικονομικών στοιχείων</w:t>
      </w:r>
      <w:r w:rsidRPr="00170EB6">
        <w:rPr>
          <w:rFonts w:ascii="Times New Roman" w:hAnsi="Times New Roman" w:cs="Times New Roman"/>
          <w:bCs/>
          <w:sz w:val="24"/>
          <w:szCs w:val="24"/>
        </w:rPr>
        <w:t>, βάσει της Οδηγίας για τη Μη Χρηματοοικονομική Πληροφόρηση (</w:t>
      </w:r>
      <w:proofErr w:type="spellStart"/>
      <w:r w:rsidRPr="00170EB6">
        <w:rPr>
          <w:rFonts w:ascii="Times New Roman" w:hAnsi="Times New Roman" w:cs="Times New Roman"/>
          <w:bCs/>
          <w:sz w:val="24"/>
          <w:szCs w:val="24"/>
        </w:rPr>
        <w:t>NFRD</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CSRD</w:t>
      </w:r>
      <w:proofErr w:type="spellEnd"/>
      <w:r w:rsidRPr="00170EB6">
        <w:rPr>
          <w:rFonts w:ascii="Times New Roman" w:hAnsi="Times New Roman" w:cs="Times New Roman"/>
          <w:bCs/>
          <w:sz w:val="24"/>
          <w:szCs w:val="24"/>
        </w:rPr>
        <w:t xml:space="preserve">). Ως επί το </w:t>
      </w:r>
      <w:proofErr w:type="spellStart"/>
      <w:r w:rsidRPr="00170EB6">
        <w:rPr>
          <w:rFonts w:ascii="Times New Roman" w:hAnsi="Times New Roman" w:cs="Times New Roman"/>
          <w:bCs/>
          <w:sz w:val="24"/>
          <w:szCs w:val="24"/>
        </w:rPr>
        <w:t>πλείστον</w:t>
      </w:r>
      <w:proofErr w:type="spellEnd"/>
      <w:r w:rsidRPr="00170EB6">
        <w:rPr>
          <w:rFonts w:ascii="Times New Roman" w:hAnsi="Times New Roman" w:cs="Times New Roman"/>
          <w:bCs/>
          <w:sz w:val="24"/>
          <w:szCs w:val="24"/>
        </w:rPr>
        <w:t>, αυτό περιλαμβάνει τρεις διαφορετικές ομάδες χρηστών για τους οποίους θα είναι υποχρεωτική η συμμόρφωση με τον κανονισμό της ταξινομίας:</w:t>
      </w:r>
    </w:p>
    <w:p w14:paraId="45A3C8B5" w14:textId="77777777" w:rsidR="00170EB6" w:rsidRPr="00170EB6" w:rsidRDefault="00170EB6" w:rsidP="00170EB6">
      <w:pPr>
        <w:numPr>
          <w:ilvl w:val="0"/>
          <w:numId w:val="29"/>
        </w:numPr>
        <w:jc w:val="both"/>
        <w:rPr>
          <w:rFonts w:ascii="Times New Roman" w:hAnsi="Times New Roman" w:cs="Times New Roman"/>
          <w:bCs/>
          <w:sz w:val="24"/>
          <w:szCs w:val="24"/>
        </w:rPr>
      </w:pPr>
      <w:r w:rsidRPr="00170EB6">
        <w:rPr>
          <w:rFonts w:ascii="Times New Roman" w:hAnsi="Times New Roman" w:cs="Times New Roman"/>
          <w:bCs/>
          <w:sz w:val="24"/>
          <w:szCs w:val="24"/>
        </w:rPr>
        <w:t>Μεγάλες εταιρείες δημοσίου ενδιαφέροντος με περισσότερα από 500 άτομα προσωπικό, οι οποίες υποχρεούνται ήδη να αναφέρουν μη χρηματοοικονομικές πληροφορίες σύμφωνα με το πεδίο εφαρμογής της Οδηγίας για τη Μη Χρηματοοικονομική Αναφορά (</w:t>
      </w:r>
      <w:proofErr w:type="spellStart"/>
      <w:r w:rsidRPr="00170EB6">
        <w:rPr>
          <w:rFonts w:ascii="Times New Roman" w:hAnsi="Times New Roman" w:cs="Times New Roman"/>
          <w:bCs/>
          <w:sz w:val="24"/>
          <w:szCs w:val="24"/>
        </w:rPr>
        <w:t>NFRD</w:t>
      </w:r>
      <w:proofErr w:type="spellEnd"/>
      <w:r w:rsidRPr="00170EB6">
        <w:rPr>
          <w:rFonts w:ascii="Times New Roman" w:hAnsi="Times New Roman" w:cs="Times New Roman"/>
          <w:bCs/>
          <w:sz w:val="24"/>
          <w:szCs w:val="24"/>
        </w:rPr>
        <w:t>)</w:t>
      </w:r>
    </w:p>
    <w:p w14:paraId="3757942E" w14:textId="77777777" w:rsidR="00170EB6" w:rsidRPr="00170EB6" w:rsidRDefault="00170EB6" w:rsidP="00170EB6">
      <w:pPr>
        <w:numPr>
          <w:ilvl w:val="0"/>
          <w:numId w:val="29"/>
        </w:numPr>
        <w:jc w:val="both"/>
        <w:rPr>
          <w:rFonts w:ascii="Times New Roman" w:hAnsi="Times New Roman" w:cs="Times New Roman"/>
          <w:bCs/>
          <w:sz w:val="24"/>
          <w:szCs w:val="24"/>
        </w:rPr>
      </w:pPr>
      <w:r w:rsidRPr="00170EB6">
        <w:rPr>
          <w:rFonts w:ascii="Times New Roman" w:hAnsi="Times New Roman" w:cs="Times New Roman"/>
          <w:bCs/>
          <w:sz w:val="24"/>
          <w:szCs w:val="24"/>
        </w:rPr>
        <w:t>Η ΕΕ και τα κράτη μέλη όταν ορίζουν δημόσια μέτρα, πρότυπα ή ετικέτες για πράσινα χρηματοπιστωτικά προϊόντα ή πράσινα ομόλογα</w:t>
      </w:r>
    </w:p>
    <w:p w14:paraId="35DC8D0A" w14:textId="77777777" w:rsidR="00170EB6" w:rsidRPr="00170EB6" w:rsidRDefault="00170EB6" w:rsidP="00170EB6">
      <w:pPr>
        <w:numPr>
          <w:ilvl w:val="0"/>
          <w:numId w:val="29"/>
        </w:numPr>
        <w:jc w:val="both"/>
        <w:rPr>
          <w:rFonts w:ascii="Times New Roman" w:hAnsi="Times New Roman" w:cs="Times New Roman"/>
          <w:bCs/>
          <w:sz w:val="24"/>
          <w:szCs w:val="24"/>
        </w:rPr>
      </w:pPr>
      <w:r w:rsidRPr="00170EB6">
        <w:rPr>
          <w:rFonts w:ascii="Times New Roman" w:hAnsi="Times New Roman" w:cs="Times New Roman"/>
          <w:bCs/>
          <w:sz w:val="24"/>
          <w:szCs w:val="24"/>
        </w:rPr>
        <w:t>Συμμετέχοντες στις χρηματοπιστωτικές αγορές που προσφέρουν χρηματοπιστωτικά προϊόντα στην ΕΕ.</w:t>
      </w:r>
    </w:p>
    <w:p w14:paraId="691B9AC9"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 xml:space="preserve">Όλες οι ενδιαφερόμενες εταιρείες πρέπει να </w:t>
      </w:r>
      <w:r w:rsidRPr="00170EB6">
        <w:rPr>
          <w:rFonts w:ascii="Times New Roman" w:hAnsi="Times New Roman" w:cs="Times New Roman"/>
          <w:b/>
          <w:bCs/>
          <w:sz w:val="24"/>
          <w:szCs w:val="24"/>
        </w:rPr>
        <w:t>γνωστοποιούν</w:t>
      </w:r>
      <w:r w:rsidRPr="00170EB6">
        <w:rPr>
          <w:rFonts w:ascii="Times New Roman" w:hAnsi="Times New Roman" w:cs="Times New Roman"/>
          <w:bCs/>
          <w:sz w:val="24"/>
          <w:szCs w:val="24"/>
        </w:rPr>
        <w:t xml:space="preserve"> πώς και σε ποιο βαθμό η οικονομική τους δραστηριότητα λαμβάνει υπόψη ή περιλαμβάνει την </w:t>
      </w:r>
      <w:proofErr w:type="spellStart"/>
      <w:r w:rsidRPr="00170EB6">
        <w:rPr>
          <w:rFonts w:ascii="Times New Roman" w:hAnsi="Times New Roman" w:cs="Times New Roman"/>
          <w:b/>
          <w:bCs/>
          <w:sz w:val="24"/>
          <w:szCs w:val="24"/>
        </w:rPr>
        <w:t>αειφορία</w:t>
      </w:r>
      <w:proofErr w:type="spellEnd"/>
      <w:r w:rsidRPr="00170EB6">
        <w:rPr>
          <w:rFonts w:ascii="Times New Roman" w:hAnsi="Times New Roman" w:cs="Times New Roman"/>
          <w:bCs/>
          <w:sz w:val="24"/>
          <w:szCs w:val="24"/>
        </w:rPr>
        <w:t xml:space="preserve"> βάσει του κανονισμού ταξινομίας. Ειδικότερα, οι εταιρείες πρέπει να γνωστοποιούν τα ακόλουθα:</w:t>
      </w:r>
    </w:p>
    <w:p w14:paraId="630E0F46" w14:textId="77777777" w:rsidR="00170EB6" w:rsidRPr="00170EB6" w:rsidRDefault="00170EB6" w:rsidP="00170EB6">
      <w:pPr>
        <w:numPr>
          <w:ilvl w:val="0"/>
          <w:numId w:val="32"/>
        </w:numPr>
        <w:jc w:val="both"/>
        <w:rPr>
          <w:rFonts w:ascii="Times New Roman" w:hAnsi="Times New Roman" w:cs="Times New Roman"/>
          <w:bCs/>
          <w:sz w:val="24"/>
          <w:szCs w:val="24"/>
        </w:rPr>
      </w:pPr>
      <w:r w:rsidRPr="00170EB6">
        <w:rPr>
          <w:rFonts w:ascii="Times New Roman" w:hAnsi="Times New Roman" w:cs="Times New Roman"/>
          <w:bCs/>
          <w:sz w:val="24"/>
          <w:szCs w:val="24"/>
        </w:rPr>
        <w:t xml:space="preserve">Το ποσοστό του κύκλου εργασιών τους από προϊόντα ή υπηρεσίες που συνδέονται με οικονομικές δραστηριότητες που χαρακτηρίζονται ως περιβαλλοντικά αειφόρες (EU </w:t>
      </w:r>
      <w:proofErr w:type="spellStart"/>
      <w:r w:rsidRPr="00170EB6">
        <w:rPr>
          <w:rFonts w:ascii="Times New Roman" w:hAnsi="Times New Roman" w:cs="Times New Roman"/>
          <w:bCs/>
          <w:sz w:val="24"/>
          <w:szCs w:val="24"/>
        </w:rPr>
        <w:t>taxonomy-compliant</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share</w:t>
      </w:r>
      <w:proofErr w:type="spellEnd"/>
      <w:r w:rsidRPr="00170EB6">
        <w:rPr>
          <w:rFonts w:ascii="Times New Roman" w:hAnsi="Times New Roman" w:cs="Times New Roman"/>
          <w:bCs/>
          <w:sz w:val="24"/>
          <w:szCs w:val="24"/>
        </w:rPr>
        <w:t xml:space="preserve"> of </w:t>
      </w:r>
      <w:proofErr w:type="spellStart"/>
      <w:r w:rsidRPr="00170EB6">
        <w:rPr>
          <w:rFonts w:ascii="Times New Roman" w:hAnsi="Times New Roman" w:cs="Times New Roman"/>
          <w:bCs/>
          <w:sz w:val="24"/>
          <w:szCs w:val="24"/>
        </w:rPr>
        <w:t>turnover</w:t>
      </w:r>
      <w:proofErr w:type="spellEnd"/>
      <w:r w:rsidRPr="00170EB6">
        <w:rPr>
          <w:rFonts w:ascii="Times New Roman" w:hAnsi="Times New Roman" w:cs="Times New Roman"/>
          <w:bCs/>
          <w:sz w:val="24"/>
          <w:szCs w:val="24"/>
        </w:rPr>
        <w:t>)</w:t>
      </w:r>
    </w:p>
    <w:p w14:paraId="2D6CCCBE" w14:textId="77777777" w:rsidR="00170EB6" w:rsidRPr="00170EB6" w:rsidRDefault="00170EB6" w:rsidP="00170EB6">
      <w:pPr>
        <w:numPr>
          <w:ilvl w:val="0"/>
          <w:numId w:val="32"/>
        </w:numPr>
        <w:jc w:val="both"/>
        <w:rPr>
          <w:rFonts w:ascii="Times New Roman" w:hAnsi="Times New Roman" w:cs="Times New Roman"/>
          <w:bCs/>
          <w:sz w:val="24"/>
          <w:szCs w:val="24"/>
        </w:rPr>
      </w:pPr>
      <w:r w:rsidRPr="00170EB6">
        <w:rPr>
          <w:rFonts w:ascii="Times New Roman" w:hAnsi="Times New Roman" w:cs="Times New Roman"/>
          <w:bCs/>
          <w:sz w:val="24"/>
          <w:szCs w:val="24"/>
        </w:rPr>
        <w:t xml:space="preserve">Το ποσοστό των κεφαλαιουχικών δαπανών τους που σχετίζονται με περιουσιακά στοιχεία ή διαδικασίες που συνδέονται με οικονομικές δραστηριότητες που χαρακτηρίζονται ως περιβαλλοντικά αειφόρες (Capital </w:t>
      </w:r>
      <w:proofErr w:type="spellStart"/>
      <w:r w:rsidRPr="00170EB6">
        <w:rPr>
          <w:rFonts w:ascii="Times New Roman" w:hAnsi="Times New Roman" w:cs="Times New Roman"/>
          <w:bCs/>
          <w:sz w:val="24"/>
          <w:szCs w:val="24"/>
        </w:rPr>
        <w:t>expenditure</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CapEx</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aligned</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with</w:t>
      </w:r>
      <w:proofErr w:type="spellEnd"/>
      <w:r w:rsidRPr="00170EB6">
        <w:rPr>
          <w:rFonts w:ascii="Times New Roman" w:hAnsi="Times New Roman" w:cs="Times New Roman"/>
          <w:bCs/>
          <w:sz w:val="24"/>
          <w:szCs w:val="24"/>
        </w:rPr>
        <w:t xml:space="preserve"> the EU </w:t>
      </w:r>
      <w:proofErr w:type="spellStart"/>
      <w:r w:rsidRPr="00170EB6">
        <w:rPr>
          <w:rFonts w:ascii="Times New Roman" w:hAnsi="Times New Roman" w:cs="Times New Roman"/>
          <w:bCs/>
          <w:sz w:val="24"/>
          <w:szCs w:val="24"/>
        </w:rPr>
        <w:t>taxonomy</w:t>
      </w:r>
      <w:proofErr w:type="spellEnd"/>
      <w:r w:rsidRPr="00170EB6">
        <w:rPr>
          <w:rFonts w:ascii="Times New Roman" w:hAnsi="Times New Roman" w:cs="Times New Roman"/>
          <w:bCs/>
          <w:sz w:val="24"/>
          <w:szCs w:val="24"/>
        </w:rPr>
        <w:t>)</w:t>
      </w:r>
    </w:p>
    <w:p w14:paraId="41F76678" w14:textId="77777777" w:rsidR="00170EB6" w:rsidRPr="00170EB6" w:rsidRDefault="00170EB6" w:rsidP="00170EB6">
      <w:pPr>
        <w:numPr>
          <w:ilvl w:val="0"/>
          <w:numId w:val="32"/>
        </w:numPr>
        <w:jc w:val="both"/>
        <w:rPr>
          <w:rFonts w:ascii="Times New Roman" w:hAnsi="Times New Roman" w:cs="Times New Roman"/>
          <w:bCs/>
          <w:sz w:val="24"/>
          <w:szCs w:val="24"/>
        </w:rPr>
      </w:pPr>
      <w:r w:rsidRPr="00170EB6">
        <w:rPr>
          <w:rFonts w:ascii="Times New Roman" w:hAnsi="Times New Roman" w:cs="Times New Roman"/>
          <w:bCs/>
          <w:sz w:val="24"/>
          <w:szCs w:val="24"/>
        </w:rPr>
        <w:t>Την αναλογία των λειτουργικών δαπανών τους που σχετίζονται με περιουσιακά στοιχεία ή διαδικασίες που συνδέονται με οικονομικές δραστηριότητες που χαρακτηρίζονται ως περιβαλλοντικά αειφόρες (</w:t>
      </w:r>
      <w:proofErr w:type="spellStart"/>
      <w:r w:rsidRPr="00170EB6">
        <w:rPr>
          <w:rFonts w:ascii="Times New Roman" w:hAnsi="Times New Roman" w:cs="Times New Roman"/>
          <w:bCs/>
          <w:sz w:val="24"/>
          <w:szCs w:val="24"/>
        </w:rPr>
        <w:t>Operating</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expenses</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OpEx</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aligned</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with</w:t>
      </w:r>
      <w:proofErr w:type="spellEnd"/>
      <w:r w:rsidRPr="00170EB6">
        <w:rPr>
          <w:rFonts w:ascii="Times New Roman" w:hAnsi="Times New Roman" w:cs="Times New Roman"/>
          <w:bCs/>
          <w:sz w:val="24"/>
          <w:szCs w:val="24"/>
        </w:rPr>
        <w:t xml:space="preserve"> the EU </w:t>
      </w:r>
      <w:proofErr w:type="spellStart"/>
      <w:r w:rsidRPr="00170EB6">
        <w:rPr>
          <w:rFonts w:ascii="Times New Roman" w:hAnsi="Times New Roman" w:cs="Times New Roman"/>
          <w:bCs/>
          <w:sz w:val="24"/>
          <w:szCs w:val="24"/>
        </w:rPr>
        <w:t>taxonomy</w:t>
      </w:r>
      <w:proofErr w:type="spellEnd"/>
      <w:r w:rsidRPr="00170EB6">
        <w:rPr>
          <w:rFonts w:ascii="Times New Roman" w:hAnsi="Times New Roman" w:cs="Times New Roman"/>
          <w:bCs/>
          <w:sz w:val="24"/>
          <w:szCs w:val="24"/>
        </w:rPr>
        <w:t>)</w:t>
      </w:r>
    </w:p>
    <w:p w14:paraId="4B22F471"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 xml:space="preserve">Η εν λόγω γνωστοποίηση θα πρέπει να αποτελεί μέρος της μη χρηματοοικονομικής αναφοράς, ενδεχομένως στον ετήσιο εταιρικό απολογισμό ή στην έκθεση βιωσιμότητας, καθώς και των περιοδικών γνωστοποιήσεων των εταιρειών στην εκάστοτε Ρυθμιστή </w:t>
      </w:r>
      <w:r w:rsidRPr="00170EB6">
        <w:rPr>
          <w:rFonts w:ascii="Times New Roman" w:hAnsi="Times New Roman" w:cs="Times New Roman"/>
          <w:bCs/>
          <w:sz w:val="24"/>
          <w:szCs w:val="24"/>
        </w:rPr>
        <w:lastRenderedPageBreak/>
        <w:t xml:space="preserve">Αρχή καθώς και στους </w:t>
      </w:r>
      <w:proofErr w:type="spellStart"/>
      <w:r w:rsidRPr="00170EB6">
        <w:rPr>
          <w:rFonts w:ascii="Times New Roman" w:hAnsi="Times New Roman" w:cs="Times New Roman"/>
          <w:bCs/>
          <w:sz w:val="24"/>
          <w:szCs w:val="24"/>
        </w:rPr>
        <w:t>ιστότοπους</w:t>
      </w:r>
      <w:proofErr w:type="spellEnd"/>
      <w:r w:rsidRPr="00170EB6">
        <w:rPr>
          <w:rFonts w:ascii="Times New Roman" w:hAnsi="Times New Roman" w:cs="Times New Roman"/>
          <w:bCs/>
          <w:sz w:val="24"/>
          <w:szCs w:val="24"/>
        </w:rPr>
        <w:t xml:space="preserve"> τους. Η εξωτερική επαλήθευση των γνωστοποιήσεων ταξινομίας της ΕΕ είναι ένα ακόμη στοιχείο των επερχόμενων ρυθμιστικών εξελίξεων.</w:t>
      </w:r>
    </w:p>
    <w:p w14:paraId="17086DA4"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Οι συμμετέχοντες στις χρηματοπιστωτικές αγορές υποχρεούνται επίσης να προβαίνουν σε </w:t>
      </w:r>
      <w:r w:rsidRPr="00170EB6">
        <w:rPr>
          <w:rFonts w:ascii="Times New Roman" w:hAnsi="Times New Roman" w:cs="Times New Roman"/>
          <w:b/>
          <w:bCs/>
          <w:sz w:val="24"/>
          <w:szCs w:val="24"/>
        </w:rPr>
        <w:t>γνωστοποιήσεις σύμφωνα με τον Κανονισμό Ταξινομίας της ΕΕ</w:t>
      </w:r>
      <w:r w:rsidRPr="00170EB6">
        <w:rPr>
          <w:rFonts w:ascii="Times New Roman" w:hAnsi="Times New Roman" w:cs="Times New Roman"/>
          <w:bCs/>
          <w:sz w:val="24"/>
          <w:szCs w:val="24"/>
        </w:rPr>
        <w:t>. Αυτή η απαίτηση της ΕΕ θα έχει αντίκτυπο στις εταιρείες επειδή ισχύει για όλα τα προϊόντα που παράγονται και διανέμονται στην ΕΕ. Οι απαιτήσεις γνωστοποίησης είναι υποχρεωτικές για ορισμένα προϊόντα και η </w:t>
      </w:r>
      <w:r w:rsidRPr="00170EB6">
        <w:rPr>
          <w:rFonts w:ascii="Times New Roman" w:hAnsi="Times New Roman" w:cs="Times New Roman"/>
          <w:b/>
          <w:bCs/>
          <w:sz w:val="24"/>
          <w:szCs w:val="24"/>
        </w:rPr>
        <w:t>αρχή «συμμόρφωσης ή εξήγησης»</w:t>
      </w:r>
      <w:r w:rsidRPr="00170EB6">
        <w:rPr>
          <w:rFonts w:ascii="Times New Roman" w:hAnsi="Times New Roman" w:cs="Times New Roman"/>
          <w:bCs/>
          <w:sz w:val="24"/>
          <w:szCs w:val="24"/>
        </w:rPr>
        <w:t> ισχύει για τα υπόλοιπα.</w:t>
      </w:r>
    </w:p>
    <w:p w14:paraId="3962F735"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Για κάθε προϊόν, οι εταιρείες θα πρέπει να γνωστοποιούν:</w:t>
      </w:r>
    </w:p>
    <w:p w14:paraId="24B282CC" w14:textId="77777777" w:rsidR="00170EB6" w:rsidRPr="00170EB6" w:rsidRDefault="00170EB6" w:rsidP="00170EB6">
      <w:pPr>
        <w:numPr>
          <w:ilvl w:val="0"/>
          <w:numId w:val="33"/>
        </w:numPr>
        <w:jc w:val="both"/>
        <w:rPr>
          <w:rFonts w:ascii="Times New Roman" w:hAnsi="Times New Roman" w:cs="Times New Roman"/>
          <w:bCs/>
          <w:sz w:val="24"/>
          <w:szCs w:val="24"/>
        </w:rPr>
      </w:pPr>
      <w:r w:rsidRPr="00170EB6">
        <w:rPr>
          <w:rFonts w:ascii="Times New Roman" w:hAnsi="Times New Roman" w:cs="Times New Roman"/>
          <w:bCs/>
          <w:sz w:val="24"/>
          <w:szCs w:val="24"/>
        </w:rPr>
        <w:t xml:space="preserve">πώς έχουν χρησιμοποιήσει την ταξινομία της ΕΕ για τον προσδιορισμό της χαρακτηριστικών </w:t>
      </w:r>
      <w:proofErr w:type="spellStart"/>
      <w:r w:rsidRPr="00170EB6">
        <w:rPr>
          <w:rFonts w:ascii="Times New Roman" w:hAnsi="Times New Roman" w:cs="Times New Roman"/>
          <w:bCs/>
          <w:sz w:val="24"/>
          <w:szCs w:val="24"/>
        </w:rPr>
        <w:t>αειφορίας</w:t>
      </w:r>
      <w:proofErr w:type="spellEnd"/>
      <w:r w:rsidRPr="00170EB6">
        <w:rPr>
          <w:rFonts w:ascii="Times New Roman" w:hAnsi="Times New Roman" w:cs="Times New Roman"/>
          <w:bCs/>
          <w:sz w:val="24"/>
          <w:szCs w:val="24"/>
        </w:rPr>
        <w:t xml:space="preserve"> των υποκείμενων επενδύσεων</w:t>
      </w:r>
      <w:r w:rsidRPr="00170EB6">
        <w:rPr>
          <w:rFonts w:ascii="Times New Roman" w:hAnsi="Times New Roman" w:cs="Times New Roman"/>
          <w:bCs/>
          <w:sz w:val="24"/>
          <w:szCs w:val="24"/>
        </w:rPr>
        <w:br/>
        <w:t>σε ποιον / ποιους περιβαλλοντικό/</w:t>
      </w:r>
      <w:proofErr w:type="spellStart"/>
      <w:r w:rsidRPr="00170EB6">
        <w:rPr>
          <w:rFonts w:ascii="Times New Roman" w:hAnsi="Times New Roman" w:cs="Times New Roman"/>
          <w:bCs/>
          <w:sz w:val="24"/>
          <w:szCs w:val="24"/>
        </w:rPr>
        <w:t>ους</w:t>
      </w:r>
      <w:proofErr w:type="spellEnd"/>
      <w:r w:rsidRPr="00170EB6">
        <w:rPr>
          <w:rFonts w:ascii="Times New Roman" w:hAnsi="Times New Roman" w:cs="Times New Roman"/>
          <w:bCs/>
          <w:sz w:val="24"/>
          <w:szCs w:val="24"/>
        </w:rPr>
        <w:t xml:space="preserve"> στόχο/</w:t>
      </w:r>
      <w:proofErr w:type="spellStart"/>
      <w:r w:rsidRPr="00170EB6">
        <w:rPr>
          <w:rFonts w:ascii="Times New Roman" w:hAnsi="Times New Roman" w:cs="Times New Roman"/>
          <w:bCs/>
          <w:sz w:val="24"/>
          <w:szCs w:val="24"/>
        </w:rPr>
        <w:t>ους</w:t>
      </w:r>
      <w:proofErr w:type="spellEnd"/>
      <w:r w:rsidRPr="00170EB6">
        <w:rPr>
          <w:rFonts w:ascii="Times New Roman" w:hAnsi="Times New Roman" w:cs="Times New Roman"/>
          <w:bCs/>
          <w:sz w:val="24"/>
          <w:szCs w:val="24"/>
        </w:rPr>
        <w:t xml:space="preserve"> συμβάλλουν οι επενδύσεις</w:t>
      </w:r>
    </w:p>
    <w:p w14:paraId="6F509E14" w14:textId="77777777" w:rsidR="00170EB6" w:rsidRPr="00170EB6" w:rsidRDefault="00170EB6" w:rsidP="00170EB6">
      <w:pPr>
        <w:numPr>
          <w:ilvl w:val="0"/>
          <w:numId w:val="33"/>
        </w:numPr>
        <w:jc w:val="both"/>
        <w:rPr>
          <w:rFonts w:ascii="Times New Roman" w:hAnsi="Times New Roman" w:cs="Times New Roman"/>
          <w:bCs/>
          <w:sz w:val="24"/>
          <w:szCs w:val="24"/>
        </w:rPr>
      </w:pPr>
      <w:r w:rsidRPr="00170EB6">
        <w:rPr>
          <w:rFonts w:ascii="Times New Roman" w:hAnsi="Times New Roman" w:cs="Times New Roman"/>
          <w:bCs/>
          <w:sz w:val="24"/>
          <w:szCs w:val="24"/>
        </w:rPr>
        <w:t>το ποσοστό των υποκείμενων επενδύσεων που ευθυγραμμίζονται με την ταξινομία</w:t>
      </w:r>
    </w:p>
    <w:p w14:paraId="02CD5A88"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Ο κανονισμός υπογραμμίζει την ανάγκη για μια σαφή επεξήγηση των γνωστοποιήσεων/εκθέσεων και της υποκείμενης διαδικασίας. Αυτό έχει ως στόχο </w:t>
      </w:r>
      <w:r w:rsidRPr="00170EB6">
        <w:rPr>
          <w:rFonts w:ascii="Times New Roman" w:hAnsi="Times New Roman" w:cs="Times New Roman"/>
          <w:b/>
          <w:bCs/>
          <w:sz w:val="24"/>
          <w:szCs w:val="24"/>
        </w:rPr>
        <w:t>τη διευκόλυνση των επενδυτών</w:t>
      </w:r>
      <w:r w:rsidRPr="00170EB6">
        <w:rPr>
          <w:rFonts w:ascii="Times New Roman" w:hAnsi="Times New Roman" w:cs="Times New Roman"/>
          <w:bCs/>
          <w:sz w:val="24"/>
          <w:szCs w:val="24"/>
        </w:rPr>
        <w:t>, οι οποίοι ενθαρρύνονται να επεξηγήσουν τις στρατηγικές και την κατεύθυνσή τους, ιδιαίτερα στις περιπτώσεις που οι υποκείμενες επενδύσεις τους δείχνουν χαμηλό βαθμό ευθυγράμμισης με την ταξινομία.</w:t>
      </w:r>
    </w:p>
    <w:p w14:paraId="1B16D13A"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Προκειμένου να χαρακτηριστεί μια οικονομική δραστηριότητα ως </w:t>
      </w:r>
      <w:r w:rsidRPr="00170EB6">
        <w:rPr>
          <w:rFonts w:ascii="Times New Roman" w:hAnsi="Times New Roman" w:cs="Times New Roman"/>
          <w:b/>
          <w:bCs/>
          <w:sz w:val="24"/>
          <w:szCs w:val="24"/>
        </w:rPr>
        <w:t>«περιβαλλοντικά αειφόρα»</w:t>
      </w:r>
      <w:r w:rsidRPr="00170EB6">
        <w:rPr>
          <w:rFonts w:ascii="Times New Roman" w:hAnsi="Times New Roman" w:cs="Times New Roman"/>
          <w:bCs/>
          <w:sz w:val="24"/>
          <w:szCs w:val="24"/>
        </w:rPr>
        <w:t>, σύμφωνα με τον Κανονισμό της Ταξινομίας της ΕΕ, πρέπει αυτή να πληροί τα παρακάτω κριτήρια:</w:t>
      </w:r>
    </w:p>
    <w:p w14:paraId="55654BEE" w14:textId="77777777" w:rsidR="00170EB6" w:rsidRPr="00170EB6" w:rsidRDefault="00170EB6" w:rsidP="00170EB6">
      <w:pPr>
        <w:numPr>
          <w:ilvl w:val="0"/>
          <w:numId w:val="34"/>
        </w:numPr>
        <w:jc w:val="both"/>
        <w:rPr>
          <w:rFonts w:ascii="Times New Roman" w:hAnsi="Times New Roman" w:cs="Times New Roman"/>
          <w:bCs/>
          <w:sz w:val="24"/>
          <w:szCs w:val="24"/>
        </w:rPr>
      </w:pPr>
      <w:r w:rsidRPr="00170EB6">
        <w:rPr>
          <w:rFonts w:ascii="Times New Roman" w:hAnsi="Times New Roman" w:cs="Times New Roman"/>
          <w:bCs/>
          <w:sz w:val="24"/>
          <w:szCs w:val="24"/>
        </w:rPr>
        <w:t>Να συμβάλλει σημαντικά στην επίτευξη ενός ή περισσοτέρων από τους περιβαλλοντικούς στόχους</w:t>
      </w:r>
    </w:p>
    <w:p w14:paraId="2A1EBA3C" w14:textId="77777777" w:rsidR="00170EB6" w:rsidRPr="00170EB6" w:rsidRDefault="00170EB6" w:rsidP="00170EB6">
      <w:pPr>
        <w:numPr>
          <w:ilvl w:val="0"/>
          <w:numId w:val="34"/>
        </w:numPr>
        <w:jc w:val="both"/>
        <w:rPr>
          <w:rFonts w:ascii="Times New Roman" w:hAnsi="Times New Roman" w:cs="Times New Roman"/>
          <w:bCs/>
          <w:sz w:val="24"/>
          <w:szCs w:val="24"/>
        </w:rPr>
      </w:pPr>
      <w:r w:rsidRPr="00170EB6">
        <w:rPr>
          <w:rFonts w:ascii="Times New Roman" w:hAnsi="Times New Roman" w:cs="Times New Roman"/>
          <w:bCs/>
          <w:sz w:val="24"/>
          <w:szCs w:val="24"/>
        </w:rPr>
        <w:t>Να μην επιβαρύνει κανέναν από τους υπόλοιπους περιβαλλοντικούς στόχους</w:t>
      </w:r>
    </w:p>
    <w:p w14:paraId="77DB624A" w14:textId="77777777" w:rsidR="00170EB6" w:rsidRPr="00170EB6" w:rsidRDefault="00170EB6" w:rsidP="00170EB6">
      <w:pPr>
        <w:numPr>
          <w:ilvl w:val="0"/>
          <w:numId w:val="34"/>
        </w:numPr>
        <w:jc w:val="both"/>
        <w:rPr>
          <w:rFonts w:ascii="Times New Roman" w:hAnsi="Times New Roman" w:cs="Times New Roman"/>
          <w:bCs/>
          <w:sz w:val="24"/>
          <w:szCs w:val="24"/>
        </w:rPr>
      </w:pPr>
      <w:r w:rsidRPr="00170EB6">
        <w:rPr>
          <w:rFonts w:ascii="Times New Roman" w:hAnsi="Times New Roman" w:cs="Times New Roman"/>
          <w:bCs/>
          <w:sz w:val="24"/>
          <w:szCs w:val="24"/>
        </w:rPr>
        <w:t>Να ασκείται σύμφωνα με τις ελάχιστες απαιτήσεις (που προβλέπονται στο Άρθρο 18 του Κανονισμού)</w:t>
      </w:r>
    </w:p>
    <w:p w14:paraId="3656B090" w14:textId="77777777" w:rsidR="00170EB6" w:rsidRPr="00170EB6" w:rsidRDefault="00170EB6" w:rsidP="00170EB6">
      <w:pPr>
        <w:numPr>
          <w:ilvl w:val="0"/>
          <w:numId w:val="34"/>
        </w:numPr>
        <w:jc w:val="both"/>
        <w:rPr>
          <w:rFonts w:ascii="Times New Roman" w:hAnsi="Times New Roman" w:cs="Times New Roman"/>
          <w:bCs/>
          <w:sz w:val="24"/>
          <w:szCs w:val="24"/>
        </w:rPr>
      </w:pPr>
      <w:r w:rsidRPr="00170EB6">
        <w:rPr>
          <w:rFonts w:ascii="Times New Roman" w:hAnsi="Times New Roman" w:cs="Times New Roman"/>
          <w:bCs/>
          <w:sz w:val="24"/>
          <w:szCs w:val="24"/>
        </w:rPr>
        <w:t xml:space="preserve">Να συμμορφώνεται προς τα τεχνικά κριτήρια ελέγχου Technical </w:t>
      </w:r>
      <w:proofErr w:type="spellStart"/>
      <w:r w:rsidRPr="00170EB6">
        <w:rPr>
          <w:rFonts w:ascii="Times New Roman" w:hAnsi="Times New Roman" w:cs="Times New Roman"/>
          <w:bCs/>
          <w:sz w:val="24"/>
          <w:szCs w:val="24"/>
        </w:rPr>
        <w:t>Screening</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Criteria</w:t>
      </w:r>
      <w:proofErr w:type="spellEnd"/>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TSC</w:t>
      </w:r>
      <w:proofErr w:type="spellEnd"/>
      <w:r w:rsidRPr="00170EB6">
        <w:rPr>
          <w:rFonts w:ascii="Times New Roman" w:hAnsi="Times New Roman" w:cs="Times New Roman"/>
          <w:bCs/>
          <w:sz w:val="24"/>
          <w:szCs w:val="24"/>
        </w:rPr>
        <w:t>”)</w:t>
      </w:r>
    </w:p>
    <w:p w14:paraId="36C04B92" w14:textId="77777777" w:rsidR="00170EB6" w:rsidRPr="00170EB6" w:rsidRDefault="00170EB6" w:rsidP="00170EB6">
      <w:pPr>
        <w:numPr>
          <w:ilvl w:val="0"/>
          <w:numId w:val="34"/>
        </w:numPr>
        <w:jc w:val="both"/>
        <w:rPr>
          <w:rFonts w:ascii="Times New Roman" w:hAnsi="Times New Roman" w:cs="Times New Roman"/>
          <w:bCs/>
          <w:sz w:val="24"/>
          <w:szCs w:val="24"/>
        </w:rPr>
      </w:pPr>
      <w:r w:rsidRPr="00170EB6">
        <w:rPr>
          <w:rFonts w:ascii="Times New Roman" w:hAnsi="Times New Roman" w:cs="Times New Roman"/>
          <w:bCs/>
          <w:sz w:val="24"/>
          <w:szCs w:val="24"/>
        </w:rPr>
        <w:t>Για παράδειγμα, αν μια δραστηριότητα στοχεύει στο μετριασμό της κλιματικής αλλαγής, αλλά, συγχρόνως, επιβαρύνει τη βιοποικιλότητα, τότε δεν μπορεί να χαρακτηριστεί ως «περιβαλλοντικά αειφόρα».</w:t>
      </w:r>
    </w:p>
    <w:p w14:paraId="0A1FEFEB"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Τα </w:t>
      </w:r>
      <w:r w:rsidRPr="00170EB6">
        <w:rPr>
          <w:rFonts w:ascii="Times New Roman" w:hAnsi="Times New Roman" w:cs="Times New Roman"/>
          <w:b/>
          <w:bCs/>
          <w:sz w:val="24"/>
          <w:szCs w:val="24"/>
        </w:rPr>
        <w:t>Τεχνικά Κριτήρια Ελέγχου</w:t>
      </w:r>
      <w:r w:rsidRPr="00170EB6">
        <w:rPr>
          <w:rFonts w:ascii="Times New Roman" w:hAnsi="Times New Roman" w:cs="Times New Roman"/>
          <w:bCs/>
          <w:sz w:val="24"/>
          <w:szCs w:val="24"/>
        </w:rPr>
        <w:t> είναι ενιαία κριτήρια που θα χρησιμοποιηθούν για να καθοριστεί εάν οι οικονομικές δραστηριότητες «συμβάλλουν σημαντικά» σε κάθε περιβαλλοντικό στόχο και, επομένως, μπορούν να θεωρηθούν βιώσιμες. Τα κριτήρια θα καθορίσουν επίσης εάν κάποια από αυτές τις οικονομικές δραστηριότητες προκαλεί σημαντική επιβάρυνση σε οποιονδήποτε από τους άλλους περιβαλλοντικούς στόχους.</w:t>
      </w:r>
    </w:p>
    <w:p w14:paraId="0643AF9D"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Τα κριτήρια ελέγχου καλύπτουν τους παρακάτω τομείς:</w:t>
      </w:r>
    </w:p>
    <w:p w14:paraId="6DB4D813"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Γεωργία και δασοκομία</w:t>
      </w:r>
    </w:p>
    <w:p w14:paraId="4DD23A07"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lastRenderedPageBreak/>
        <w:t>Δραστηριότητες προστασίας και αποκατάστασης του περιβάλλοντος</w:t>
      </w:r>
    </w:p>
    <w:p w14:paraId="1508F264"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Μεταποίηση</w:t>
      </w:r>
    </w:p>
    <w:p w14:paraId="1347A39F"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Ενέργεια</w:t>
      </w:r>
    </w:p>
    <w:p w14:paraId="3E5CD491"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Δραστηριότητες ύδρευσης, αποχέτευσης, διαχείρισης αποβλήτων και αποκατάστασης</w:t>
      </w:r>
    </w:p>
    <w:p w14:paraId="0A53954C"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Μεταφορές (συμπεριλαμβανομένων των θαλάσσιων)</w:t>
      </w:r>
    </w:p>
    <w:p w14:paraId="43933730"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Κατασκευές και ακίνητα</w:t>
      </w:r>
    </w:p>
    <w:p w14:paraId="01B8F738"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Πληροφορική και επικοινωνίες</w:t>
      </w:r>
    </w:p>
    <w:p w14:paraId="2FF0DD76"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Επαγγελματικές επιστημονικές και τεχνικές δραστηριότητες</w:t>
      </w:r>
    </w:p>
    <w:p w14:paraId="466CC199"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Χρηματοοικονομικές και ασφαλιστικές δραστηριότητες</w:t>
      </w:r>
    </w:p>
    <w:p w14:paraId="554BF13C"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Εκπαίδευση</w:t>
      </w:r>
    </w:p>
    <w:p w14:paraId="5D725ECA"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Δραστηριότητες ανθρώπινης υγείας και κοινωνικής εργασίας</w:t>
      </w:r>
    </w:p>
    <w:p w14:paraId="07AB5CFA" w14:textId="77777777" w:rsidR="00170EB6" w:rsidRPr="00170EB6" w:rsidRDefault="00170EB6" w:rsidP="00170EB6">
      <w:pPr>
        <w:numPr>
          <w:ilvl w:val="0"/>
          <w:numId w:val="35"/>
        </w:numPr>
        <w:jc w:val="both"/>
        <w:rPr>
          <w:rFonts w:ascii="Times New Roman" w:hAnsi="Times New Roman" w:cs="Times New Roman"/>
          <w:bCs/>
          <w:sz w:val="24"/>
          <w:szCs w:val="24"/>
        </w:rPr>
      </w:pPr>
      <w:r w:rsidRPr="00170EB6">
        <w:rPr>
          <w:rFonts w:ascii="Times New Roman" w:hAnsi="Times New Roman" w:cs="Times New Roman"/>
          <w:bCs/>
          <w:sz w:val="24"/>
          <w:szCs w:val="24"/>
        </w:rPr>
        <w:t>Τέχνες, ψυχαγωγία και αναψυχή</w:t>
      </w:r>
    </w:p>
    <w:p w14:paraId="541AA462"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 xml:space="preserve">Η πιο πρόσφατη προσπάθεια ενίσχυσης του πλαισίου που διαμορφώνεται γύρω από τη βιώσιμη ανάπτυξη εντοπίζεται στην </w:t>
      </w:r>
      <w:r w:rsidRPr="00170EB6">
        <w:rPr>
          <w:rFonts w:ascii="Times New Roman" w:hAnsi="Times New Roman" w:cs="Times New Roman"/>
          <w:b/>
          <w:bCs/>
          <w:sz w:val="24"/>
          <w:szCs w:val="24"/>
        </w:rPr>
        <w:t>ανακοίνωση συνεργασίας</w:t>
      </w:r>
      <w:r w:rsidRPr="00170EB6">
        <w:rPr>
          <w:rFonts w:ascii="Times New Roman" w:hAnsi="Times New Roman" w:cs="Times New Roman"/>
          <w:bCs/>
          <w:sz w:val="24"/>
          <w:szCs w:val="24"/>
        </w:rPr>
        <w:t xml:space="preserve"> μεταξύ της </w:t>
      </w:r>
      <w:r w:rsidRPr="00170EB6">
        <w:rPr>
          <w:rFonts w:ascii="Times New Roman" w:hAnsi="Times New Roman" w:cs="Times New Roman"/>
          <w:b/>
          <w:bCs/>
          <w:sz w:val="24"/>
          <w:szCs w:val="24"/>
        </w:rPr>
        <w:t>ευρωπαϊκής ένωσης εισηγμένων εταιρειών ακινήτων</w:t>
      </w:r>
      <w:r w:rsidRPr="00170EB6">
        <w:rPr>
          <w:rFonts w:ascii="Times New Roman" w:hAnsi="Times New Roman" w:cs="Times New Roman"/>
          <w:bCs/>
          <w:sz w:val="24"/>
          <w:szCs w:val="24"/>
        </w:rPr>
        <w:t xml:space="preserve"> (</w:t>
      </w:r>
      <w:proofErr w:type="spellStart"/>
      <w:r w:rsidRPr="00170EB6">
        <w:rPr>
          <w:rFonts w:ascii="Times New Roman" w:hAnsi="Times New Roman" w:cs="Times New Roman"/>
          <w:bCs/>
          <w:sz w:val="24"/>
          <w:szCs w:val="24"/>
        </w:rPr>
        <w:t>EPRA</w:t>
      </w:r>
      <w:proofErr w:type="spellEnd"/>
      <w:r w:rsidRPr="00170EB6">
        <w:rPr>
          <w:rFonts w:ascii="Times New Roman" w:hAnsi="Times New Roman" w:cs="Times New Roman"/>
          <w:bCs/>
          <w:sz w:val="24"/>
          <w:szCs w:val="24"/>
        </w:rPr>
        <w:t xml:space="preserve"> - </w:t>
      </w:r>
      <w:r w:rsidRPr="00170EB6">
        <w:rPr>
          <w:rFonts w:ascii="Times New Roman" w:hAnsi="Times New Roman" w:cs="Times New Roman"/>
          <w:bCs/>
          <w:sz w:val="24"/>
          <w:szCs w:val="24"/>
          <w:lang w:val="en-US"/>
        </w:rPr>
        <w:t>European</w:t>
      </w:r>
      <w:r w:rsidRPr="00170EB6">
        <w:rPr>
          <w:rFonts w:ascii="Times New Roman" w:hAnsi="Times New Roman" w:cs="Times New Roman"/>
          <w:bCs/>
          <w:sz w:val="24"/>
          <w:szCs w:val="24"/>
        </w:rPr>
        <w:t xml:space="preserve"> </w:t>
      </w:r>
      <w:r w:rsidRPr="00170EB6">
        <w:rPr>
          <w:rFonts w:ascii="Times New Roman" w:hAnsi="Times New Roman" w:cs="Times New Roman"/>
          <w:bCs/>
          <w:sz w:val="24"/>
          <w:szCs w:val="24"/>
          <w:lang w:val="en-US"/>
        </w:rPr>
        <w:t>Real</w:t>
      </w:r>
      <w:r w:rsidRPr="00170EB6">
        <w:rPr>
          <w:rFonts w:ascii="Times New Roman" w:hAnsi="Times New Roman" w:cs="Times New Roman"/>
          <w:bCs/>
          <w:sz w:val="24"/>
          <w:szCs w:val="24"/>
        </w:rPr>
        <w:t xml:space="preserve"> </w:t>
      </w:r>
      <w:r w:rsidRPr="00170EB6">
        <w:rPr>
          <w:rFonts w:ascii="Times New Roman" w:hAnsi="Times New Roman" w:cs="Times New Roman"/>
          <w:bCs/>
          <w:sz w:val="24"/>
          <w:szCs w:val="24"/>
          <w:lang w:val="en-US"/>
        </w:rPr>
        <w:t>Estate</w:t>
      </w:r>
      <w:r w:rsidRPr="00170EB6">
        <w:rPr>
          <w:rFonts w:ascii="Times New Roman" w:hAnsi="Times New Roman" w:cs="Times New Roman"/>
          <w:bCs/>
          <w:sz w:val="24"/>
          <w:szCs w:val="24"/>
        </w:rPr>
        <w:t xml:space="preserve"> </w:t>
      </w:r>
      <w:r w:rsidRPr="00170EB6">
        <w:rPr>
          <w:rFonts w:ascii="Times New Roman" w:hAnsi="Times New Roman" w:cs="Times New Roman"/>
          <w:bCs/>
          <w:sz w:val="24"/>
          <w:szCs w:val="24"/>
          <w:lang w:val="en-US"/>
        </w:rPr>
        <w:t>Association</w:t>
      </w:r>
      <w:r w:rsidRPr="00170EB6">
        <w:rPr>
          <w:rFonts w:ascii="Times New Roman" w:hAnsi="Times New Roman" w:cs="Times New Roman"/>
          <w:bCs/>
          <w:sz w:val="24"/>
          <w:szCs w:val="24"/>
        </w:rPr>
        <w:t xml:space="preserve">) και του </w:t>
      </w:r>
      <w:r w:rsidRPr="00170EB6">
        <w:rPr>
          <w:rFonts w:ascii="Times New Roman" w:hAnsi="Times New Roman" w:cs="Times New Roman"/>
          <w:b/>
          <w:bCs/>
          <w:sz w:val="24"/>
          <w:szCs w:val="24"/>
        </w:rPr>
        <w:t xml:space="preserve">Ευρωπαϊκού Περιφερειακού Δικτύου του </w:t>
      </w:r>
      <w:proofErr w:type="spellStart"/>
      <w:r w:rsidRPr="00170EB6">
        <w:rPr>
          <w:rFonts w:ascii="Times New Roman" w:hAnsi="Times New Roman" w:cs="Times New Roman"/>
          <w:b/>
          <w:bCs/>
          <w:sz w:val="24"/>
          <w:szCs w:val="24"/>
        </w:rPr>
        <w:t>WorldGBC</w:t>
      </w:r>
      <w:proofErr w:type="spellEnd"/>
      <w:r w:rsidRPr="00170EB6">
        <w:rPr>
          <w:rFonts w:ascii="Times New Roman" w:hAnsi="Times New Roman" w:cs="Times New Roman"/>
          <w:bCs/>
          <w:sz w:val="24"/>
          <w:szCs w:val="24"/>
        </w:rPr>
        <w:t xml:space="preserve"> (</w:t>
      </w:r>
      <w:r w:rsidRPr="00170EB6">
        <w:rPr>
          <w:rFonts w:ascii="Times New Roman" w:hAnsi="Times New Roman" w:cs="Times New Roman"/>
          <w:bCs/>
          <w:sz w:val="24"/>
          <w:szCs w:val="24"/>
          <w:lang w:val="en-US"/>
        </w:rPr>
        <w:t>World</w:t>
      </w:r>
      <w:r w:rsidRPr="00170EB6">
        <w:rPr>
          <w:rFonts w:ascii="Times New Roman" w:hAnsi="Times New Roman" w:cs="Times New Roman"/>
          <w:bCs/>
          <w:sz w:val="24"/>
          <w:szCs w:val="24"/>
        </w:rPr>
        <w:t xml:space="preserve"> </w:t>
      </w:r>
      <w:r w:rsidRPr="00170EB6">
        <w:rPr>
          <w:rFonts w:ascii="Times New Roman" w:hAnsi="Times New Roman" w:cs="Times New Roman"/>
          <w:bCs/>
          <w:sz w:val="24"/>
          <w:szCs w:val="24"/>
          <w:lang w:val="en-US"/>
        </w:rPr>
        <w:t>Green</w:t>
      </w:r>
      <w:r w:rsidRPr="00170EB6">
        <w:rPr>
          <w:rFonts w:ascii="Times New Roman" w:hAnsi="Times New Roman" w:cs="Times New Roman"/>
          <w:bCs/>
          <w:sz w:val="24"/>
          <w:szCs w:val="24"/>
        </w:rPr>
        <w:t xml:space="preserve"> </w:t>
      </w:r>
      <w:r w:rsidRPr="00170EB6">
        <w:rPr>
          <w:rFonts w:ascii="Times New Roman" w:hAnsi="Times New Roman" w:cs="Times New Roman"/>
          <w:bCs/>
          <w:sz w:val="24"/>
          <w:szCs w:val="24"/>
          <w:lang w:val="en-US"/>
        </w:rPr>
        <w:t>Building</w:t>
      </w:r>
      <w:r w:rsidRPr="00170EB6">
        <w:rPr>
          <w:rFonts w:ascii="Times New Roman" w:hAnsi="Times New Roman" w:cs="Times New Roman"/>
          <w:bCs/>
          <w:sz w:val="24"/>
          <w:szCs w:val="24"/>
        </w:rPr>
        <w:t xml:space="preserve"> </w:t>
      </w:r>
      <w:r w:rsidRPr="00170EB6">
        <w:rPr>
          <w:rFonts w:ascii="Times New Roman" w:hAnsi="Times New Roman" w:cs="Times New Roman"/>
          <w:bCs/>
          <w:sz w:val="24"/>
          <w:szCs w:val="24"/>
          <w:lang w:val="en-US"/>
        </w:rPr>
        <w:t>Council</w:t>
      </w:r>
      <w:r w:rsidRPr="00170EB6">
        <w:rPr>
          <w:rFonts w:ascii="Times New Roman" w:hAnsi="Times New Roman" w:cs="Times New Roman"/>
          <w:bCs/>
          <w:sz w:val="24"/>
          <w:szCs w:val="24"/>
        </w:rPr>
        <w:t xml:space="preserve">). Η συνεργασία των μελών της </w:t>
      </w:r>
      <w:proofErr w:type="spellStart"/>
      <w:r w:rsidRPr="00170EB6">
        <w:rPr>
          <w:rFonts w:ascii="Times New Roman" w:hAnsi="Times New Roman" w:cs="Times New Roman"/>
          <w:bCs/>
          <w:sz w:val="24"/>
          <w:szCs w:val="24"/>
        </w:rPr>
        <w:t>ΕPRA</w:t>
      </w:r>
      <w:proofErr w:type="spellEnd"/>
      <w:r w:rsidRPr="00170EB6">
        <w:rPr>
          <w:rFonts w:ascii="Times New Roman" w:hAnsi="Times New Roman" w:cs="Times New Roman"/>
          <w:bCs/>
          <w:sz w:val="24"/>
          <w:szCs w:val="24"/>
        </w:rPr>
        <w:t xml:space="preserve"> και του </w:t>
      </w:r>
      <w:proofErr w:type="spellStart"/>
      <w:r w:rsidRPr="00170EB6">
        <w:rPr>
          <w:rFonts w:ascii="Times New Roman" w:hAnsi="Times New Roman" w:cs="Times New Roman"/>
          <w:bCs/>
          <w:sz w:val="24"/>
          <w:szCs w:val="24"/>
        </w:rPr>
        <w:t>WorldGBC</w:t>
      </w:r>
      <w:proofErr w:type="spellEnd"/>
      <w:r w:rsidRPr="00170EB6">
        <w:rPr>
          <w:rFonts w:ascii="Times New Roman" w:hAnsi="Times New Roman" w:cs="Times New Roman"/>
          <w:bCs/>
          <w:sz w:val="24"/>
          <w:szCs w:val="24"/>
        </w:rPr>
        <w:t xml:space="preserve"> με περισσότερα από 20 εθνικά Συμβούλια Πράσινων Κτιρίων (</w:t>
      </w:r>
      <w:proofErr w:type="spellStart"/>
      <w:r w:rsidRPr="00170EB6">
        <w:rPr>
          <w:rFonts w:ascii="Times New Roman" w:hAnsi="Times New Roman" w:cs="Times New Roman"/>
          <w:bCs/>
          <w:sz w:val="24"/>
          <w:szCs w:val="24"/>
        </w:rPr>
        <w:t>GBCs</w:t>
      </w:r>
      <w:proofErr w:type="spellEnd"/>
      <w:r w:rsidRPr="00170EB6">
        <w:rPr>
          <w:rFonts w:ascii="Times New Roman" w:hAnsi="Times New Roman" w:cs="Times New Roman"/>
          <w:bCs/>
          <w:sz w:val="24"/>
          <w:szCs w:val="24"/>
        </w:rPr>
        <w:t xml:space="preserve">), τα οποία αντιπροσωπεύουν περίπου 5.000 μέλη και οκτώ περιφερειακούς εταίρους, θα βοηθήσει τους κλάδους των κατασκευών και των ακινήτων να </w:t>
      </w:r>
      <w:proofErr w:type="spellStart"/>
      <w:r w:rsidRPr="00170EB6">
        <w:rPr>
          <w:rFonts w:ascii="Times New Roman" w:hAnsi="Times New Roman" w:cs="Times New Roman"/>
          <w:bCs/>
          <w:sz w:val="24"/>
          <w:szCs w:val="24"/>
        </w:rPr>
        <w:t>πλοηγηθούν</w:t>
      </w:r>
      <w:proofErr w:type="spellEnd"/>
      <w:r w:rsidRPr="00170EB6">
        <w:rPr>
          <w:rFonts w:ascii="Times New Roman" w:hAnsi="Times New Roman" w:cs="Times New Roman"/>
          <w:bCs/>
          <w:sz w:val="24"/>
          <w:szCs w:val="24"/>
        </w:rPr>
        <w:t xml:space="preserve"> στις επιπτώσεις της Ταξινομίας της ΕΕ, παρέχοντας ενημέρωση, σχετικά με τις εθνικές απαιτήσεις για την ικανοποίηση των βασικών κριτηρίων Ταξινομίας της ΕΕ. Η κοινή πρωτοβουλία στοχεύει στη διάδοση της γνώσης και στην αύξηση των ροών κεφαλαίων.</w:t>
      </w:r>
    </w:p>
    <w:p w14:paraId="1D211AF8"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Η συνεργασία των δυο οργανισμών επικεντρώνεται στην αποκρυστάλλωση ορισμών και της μεθοδολογίας έκδοσης εθνικών πιστοποιητικών ενεργειακής απόδοσης. Συγκεκριμένα ορίζεται το τι σημαίνει στην πράξη το κριτήριο Ταξινομίας της ΕΕ «</w:t>
      </w:r>
      <w:proofErr w:type="spellStart"/>
      <w:r w:rsidRPr="00170EB6">
        <w:rPr>
          <w:rFonts w:ascii="Times New Roman" w:hAnsi="Times New Roman" w:cs="Times New Roman"/>
          <w:bCs/>
          <w:sz w:val="24"/>
          <w:szCs w:val="24"/>
        </w:rPr>
        <w:t>NZEB</w:t>
      </w:r>
      <w:proofErr w:type="spellEnd"/>
      <w:r w:rsidRPr="00170EB6">
        <w:rPr>
          <w:rFonts w:ascii="Times New Roman" w:hAnsi="Times New Roman" w:cs="Times New Roman"/>
          <w:bCs/>
          <w:sz w:val="24"/>
          <w:szCs w:val="24"/>
        </w:rPr>
        <w:t xml:space="preserve"> -10%» και πώς αυτό μπορεί να υπολογιστεί σε διαφορετικά κράτη μέλη. Επίσης επιχειρείται η διαλεύκανση των όρων και προϋποθέσεων για την ταξινόμηση κτιρίων ως βιώσιμα, προκειμένου να αποφευχθούν φαινόμενα πιστοποίησης κτιρίων μέσω αποκλίνουσας μεθοδολογίας. Τέλος επιχειρείται να διευκρινιστούν οι εθνικές απαιτήσεις για «μείζονες» ή «βαθιές» ανακαινίσεις και η αντιμετώπιση των κρατών μελών της ΕΕ για την κατεδάφιση κτιρίων.</w:t>
      </w:r>
    </w:p>
    <w:p w14:paraId="1A146DFE" w14:textId="77777777" w:rsidR="00170EB6" w:rsidRPr="00170EB6" w:rsidRDefault="00170EB6" w:rsidP="00170EB6">
      <w:pPr>
        <w:jc w:val="both"/>
        <w:rPr>
          <w:rFonts w:ascii="Times New Roman" w:hAnsi="Times New Roman" w:cs="Times New Roman"/>
          <w:bCs/>
          <w:sz w:val="24"/>
          <w:szCs w:val="24"/>
        </w:rPr>
      </w:pPr>
      <w:r w:rsidRPr="00170EB6">
        <w:rPr>
          <w:rFonts w:ascii="Times New Roman" w:hAnsi="Times New Roman" w:cs="Times New Roman"/>
          <w:bCs/>
          <w:sz w:val="24"/>
          <w:szCs w:val="24"/>
        </w:rPr>
        <w:t>Το μήνυμα είναι σαφές – οι εταιρείες πρέπει να κοιτάξουν πέρα από τις οικονομικές επιπτώσεις της κλιματικής αλλαγής και να υιοθετήσουν μια πιο </w:t>
      </w:r>
      <w:r w:rsidRPr="00170EB6">
        <w:rPr>
          <w:rFonts w:ascii="Times New Roman" w:hAnsi="Times New Roman" w:cs="Times New Roman"/>
          <w:b/>
          <w:bCs/>
          <w:sz w:val="24"/>
          <w:szCs w:val="24"/>
        </w:rPr>
        <w:t>ολιστική προσέγγιση</w:t>
      </w:r>
      <w:r w:rsidRPr="00170EB6">
        <w:rPr>
          <w:rFonts w:ascii="Times New Roman" w:hAnsi="Times New Roman" w:cs="Times New Roman"/>
          <w:bCs/>
          <w:sz w:val="24"/>
          <w:szCs w:val="24"/>
        </w:rPr>
        <w:t>. Πρέπει να δράσουν τώρα για τη μείωση της περιβαλλοντικής αλλαγής, ενώ η αποτελεσματική διαχείριση των κινδύνων από πλευράς τους είναι κρίσιμη τόσο για τη</w:t>
      </w:r>
      <w:r w:rsidRPr="00170EB6">
        <w:rPr>
          <w:rFonts w:ascii="Times New Roman" w:hAnsi="Times New Roman" w:cs="Times New Roman"/>
          <w:b/>
          <w:bCs/>
          <w:sz w:val="24"/>
          <w:szCs w:val="24"/>
        </w:rPr>
        <w:t> βιώσιμη χρηματοδότηση</w:t>
      </w:r>
      <w:r w:rsidRPr="00170EB6">
        <w:rPr>
          <w:rFonts w:ascii="Times New Roman" w:hAnsi="Times New Roman" w:cs="Times New Roman"/>
          <w:bCs/>
          <w:sz w:val="24"/>
          <w:szCs w:val="24"/>
        </w:rPr>
        <w:t>, όσο και για ένα </w:t>
      </w:r>
      <w:r w:rsidRPr="00170EB6">
        <w:rPr>
          <w:rFonts w:ascii="Times New Roman" w:hAnsi="Times New Roman" w:cs="Times New Roman"/>
          <w:b/>
          <w:bCs/>
          <w:sz w:val="24"/>
          <w:szCs w:val="24"/>
        </w:rPr>
        <w:t>βιώσιμο μέλλον</w:t>
      </w:r>
      <w:r w:rsidRPr="00170EB6">
        <w:rPr>
          <w:rFonts w:ascii="Times New Roman" w:hAnsi="Times New Roman" w:cs="Times New Roman"/>
          <w:bCs/>
          <w:sz w:val="24"/>
          <w:szCs w:val="24"/>
        </w:rPr>
        <w:t>.</w:t>
      </w:r>
    </w:p>
    <w:p w14:paraId="5F88E397" w14:textId="1069AA31" w:rsidR="00A75D0A" w:rsidRPr="006706DE" w:rsidRDefault="006706DE" w:rsidP="00A75D0A">
      <w:pPr>
        <w:pStyle w:val="Heading1"/>
        <w:numPr>
          <w:ilvl w:val="8"/>
          <w:numId w:val="9"/>
        </w:numPr>
        <w:shd w:val="clear" w:color="auto" w:fill="D9E2F3" w:themeFill="accent1" w:themeFillTint="33"/>
        <w:spacing w:before="240" w:after="120" w:line="288" w:lineRule="auto"/>
        <w:ind w:left="0" w:right="43" w:firstLine="0"/>
        <w:jc w:val="center"/>
      </w:pPr>
      <w:bookmarkStart w:id="7" w:name="_Toc139885148"/>
      <w:r w:rsidRPr="006706DE">
        <w:lastRenderedPageBreak/>
        <w:t xml:space="preserve">ΘΕΜΑΤΑ </w:t>
      </w:r>
      <w:proofErr w:type="spellStart"/>
      <w:r w:rsidRPr="006706DE">
        <w:t>MARKETING</w:t>
      </w:r>
      <w:proofErr w:type="spellEnd"/>
      <w:r w:rsidRPr="006706DE">
        <w:t xml:space="preserve">, ΕΜΠΟΡΙΟΥ, ΕΠΙΧΕΙΡΗΜΑΤΙΚΟΤΗΤΑΣ, ΣΤΡΑΤΗΓΙΚΟΥ ΣΧΕΔΙΑΣΜΟΥ ΚΑΙ ΑΝΑΠΤΥΞΗΣ </w:t>
      </w:r>
      <w:r w:rsidR="00A75D0A" w:rsidRPr="006706DE">
        <w:t>ΦΟΡΕΩΝ</w:t>
      </w:r>
      <w:bookmarkEnd w:id="7"/>
    </w:p>
    <w:p w14:paraId="08B53621" w14:textId="2569D8D7" w:rsidR="007E35F2" w:rsidRPr="006706DE" w:rsidRDefault="007E35F2" w:rsidP="007F001B">
      <w:pPr>
        <w:pStyle w:val="Heading2"/>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8" w:name="_Toc127284523"/>
      <w:bookmarkStart w:id="9" w:name="_Toc139885149"/>
      <w:r w:rsidRPr="006706DE">
        <w:rPr>
          <w:rFonts w:ascii="Times New Roman" w:hAnsi="Times New Roman" w:cs="Times New Roman"/>
          <w:b/>
          <w:bCs/>
          <w:color w:val="auto"/>
          <w:sz w:val="24"/>
          <w:szCs w:val="24"/>
        </w:rPr>
        <w:t xml:space="preserve">Α. </w:t>
      </w:r>
      <w:bookmarkEnd w:id="8"/>
      <w:r w:rsidR="006706DE" w:rsidRPr="006706DE">
        <w:rPr>
          <w:rFonts w:ascii="Times New Roman" w:hAnsi="Times New Roman" w:cs="Times New Roman"/>
          <w:b/>
          <w:bCs/>
          <w:color w:val="auto"/>
          <w:sz w:val="24"/>
          <w:szCs w:val="24"/>
        </w:rPr>
        <w:t xml:space="preserve">ΠΡΟΩΘΗΣΗ ή αλλιώς το ένα από τα 4P του </w:t>
      </w:r>
      <w:proofErr w:type="spellStart"/>
      <w:r w:rsidR="006706DE" w:rsidRPr="006706DE">
        <w:rPr>
          <w:rFonts w:ascii="Times New Roman" w:hAnsi="Times New Roman" w:cs="Times New Roman"/>
          <w:b/>
          <w:bCs/>
          <w:color w:val="auto"/>
          <w:sz w:val="24"/>
          <w:szCs w:val="24"/>
        </w:rPr>
        <w:t>MARKETING</w:t>
      </w:r>
      <w:proofErr w:type="spellEnd"/>
      <w:r w:rsidR="006706DE" w:rsidRPr="006706DE">
        <w:rPr>
          <w:rFonts w:ascii="Times New Roman" w:hAnsi="Times New Roman" w:cs="Times New Roman"/>
          <w:b/>
          <w:bCs/>
          <w:color w:val="auto"/>
          <w:sz w:val="24"/>
          <w:szCs w:val="24"/>
        </w:rPr>
        <w:t xml:space="preserve"> (</w:t>
      </w:r>
      <w:proofErr w:type="spellStart"/>
      <w:r w:rsidR="006706DE" w:rsidRPr="006706DE">
        <w:rPr>
          <w:rFonts w:ascii="Times New Roman" w:hAnsi="Times New Roman" w:cs="Times New Roman"/>
          <w:b/>
          <w:bCs/>
          <w:color w:val="auto"/>
          <w:sz w:val="24"/>
          <w:szCs w:val="24"/>
        </w:rPr>
        <w:t>PROMOTION</w:t>
      </w:r>
      <w:proofErr w:type="spellEnd"/>
      <w:r w:rsidR="006706DE" w:rsidRPr="006706DE">
        <w:rPr>
          <w:rFonts w:ascii="Times New Roman" w:hAnsi="Times New Roman" w:cs="Times New Roman"/>
          <w:b/>
          <w:bCs/>
          <w:color w:val="auto"/>
          <w:sz w:val="24"/>
          <w:szCs w:val="24"/>
        </w:rPr>
        <w:t>)</w:t>
      </w:r>
      <w:bookmarkEnd w:id="9"/>
    </w:p>
    <w:p w14:paraId="186E05D8" w14:textId="77777777" w:rsidR="006706DE" w:rsidRPr="006706DE" w:rsidRDefault="006706DE" w:rsidP="006706DE">
      <w:pPr>
        <w:pStyle w:val="BodyText"/>
      </w:pPr>
      <w:r w:rsidRPr="006706DE">
        <w:t xml:space="preserve">Ξεκίνησε ως στρατηγική επικοινωνίας του Ιδιωτικού Τομέα συνήθως με στόχο τις πωλήσεις και το κέρδος, αλλά σύντομα υιοθετήθηκε από τον ευρύτερο Δημόσιο Τομέα, Φορείς, Επιμελητήρια, κ.α.  με στόχο την </w:t>
      </w:r>
      <w:r w:rsidRPr="006706DE">
        <w:rPr>
          <w:b/>
        </w:rPr>
        <w:t>αποτελεσματική διάχυση της πληροφόρησης και την επικοινωνία με τους πολίτες</w:t>
      </w:r>
      <w:r w:rsidRPr="006706DE">
        <w:t xml:space="preserve"> για καίρια ζητήματα των Τοπικών ή </w:t>
      </w:r>
      <w:proofErr w:type="spellStart"/>
      <w:r w:rsidRPr="006706DE">
        <w:t>Υπερτοπικών</w:t>
      </w:r>
      <w:proofErr w:type="spellEnd"/>
      <w:r w:rsidRPr="006706DE">
        <w:t xml:space="preserve"> Κοινωνιών, καθώς και για καινοτόμες υπηρεσίες που την χρήση τους εγκαινιάζουν Φορείς, Επιμελητήρια κ.α.</w:t>
      </w:r>
    </w:p>
    <w:p w14:paraId="4FE2F1A1" w14:textId="7EF7E863" w:rsidR="006706DE" w:rsidRPr="006706DE" w:rsidRDefault="006706DE" w:rsidP="006706DE">
      <w:pPr>
        <w:pStyle w:val="BodyText"/>
        <w:rPr>
          <w:b/>
        </w:rPr>
      </w:pPr>
      <w:r w:rsidRPr="006706DE">
        <w:rPr>
          <w:b/>
        </w:rPr>
        <w:t>Έτσι σήμερα η Διαφήμιση Χρησιμοποιείται με σκοπό την Ενημέρωση-Διάχυση-Επικοινωνία Φορέων για :</w:t>
      </w:r>
    </w:p>
    <w:p w14:paraId="505C963D" w14:textId="77777777" w:rsidR="006706DE" w:rsidRPr="006706DE" w:rsidRDefault="006706DE" w:rsidP="0011676F">
      <w:pPr>
        <w:pStyle w:val="BodyText"/>
        <w:numPr>
          <w:ilvl w:val="0"/>
          <w:numId w:val="22"/>
        </w:numPr>
        <w:rPr>
          <w:lang w:val="en-US"/>
        </w:rPr>
      </w:pPr>
      <w:r w:rsidRPr="006706DE">
        <w:rPr>
          <w:lang w:val="en-US"/>
        </w:rPr>
        <w:t>Υπ</w:t>
      </w:r>
      <w:proofErr w:type="spellStart"/>
      <w:r w:rsidRPr="006706DE">
        <w:rPr>
          <w:lang w:val="en-US"/>
        </w:rPr>
        <w:t>ηρεσίες</w:t>
      </w:r>
      <w:proofErr w:type="spellEnd"/>
      <w:r w:rsidRPr="006706DE">
        <w:rPr>
          <w:lang w:val="en-US"/>
        </w:rPr>
        <w:t xml:space="preserve"> </w:t>
      </w:r>
      <w:proofErr w:type="spellStart"/>
      <w:r w:rsidRPr="006706DE">
        <w:rPr>
          <w:lang w:val="en-US"/>
        </w:rPr>
        <w:t>Ψηφι</w:t>
      </w:r>
      <w:proofErr w:type="spellEnd"/>
      <w:r w:rsidRPr="006706DE">
        <w:rPr>
          <w:lang w:val="en-US"/>
        </w:rPr>
        <w:t xml:space="preserve">ακού </w:t>
      </w:r>
      <w:proofErr w:type="spellStart"/>
      <w:r w:rsidRPr="006706DE">
        <w:rPr>
          <w:lang w:val="en-US"/>
        </w:rPr>
        <w:t>Μετ</w:t>
      </w:r>
      <w:proofErr w:type="spellEnd"/>
      <w:r w:rsidRPr="006706DE">
        <w:rPr>
          <w:lang w:val="en-US"/>
        </w:rPr>
        <w:t>ασχηματισμού</w:t>
      </w:r>
    </w:p>
    <w:p w14:paraId="0AFC7975" w14:textId="77777777" w:rsidR="006706DE" w:rsidRPr="006706DE" w:rsidRDefault="006706DE" w:rsidP="0011676F">
      <w:pPr>
        <w:pStyle w:val="BodyText"/>
        <w:numPr>
          <w:ilvl w:val="0"/>
          <w:numId w:val="22"/>
        </w:numPr>
        <w:rPr>
          <w:lang w:val="en-US"/>
        </w:rPr>
      </w:pPr>
      <w:proofErr w:type="spellStart"/>
      <w:r w:rsidRPr="006706DE">
        <w:rPr>
          <w:lang w:val="en-US"/>
        </w:rPr>
        <w:t>Ενεργει</w:t>
      </w:r>
      <w:proofErr w:type="spellEnd"/>
      <w:r w:rsidRPr="006706DE">
        <w:rPr>
          <w:lang w:val="en-US"/>
        </w:rPr>
        <w:t xml:space="preserve">ακά </w:t>
      </w:r>
      <w:proofErr w:type="spellStart"/>
      <w:r w:rsidRPr="006706DE">
        <w:rPr>
          <w:lang w:val="en-US"/>
        </w:rPr>
        <w:t>Θέμ</w:t>
      </w:r>
      <w:proofErr w:type="spellEnd"/>
      <w:r w:rsidRPr="006706DE">
        <w:rPr>
          <w:lang w:val="en-US"/>
        </w:rPr>
        <w:t>ατα</w:t>
      </w:r>
    </w:p>
    <w:p w14:paraId="12CC2212" w14:textId="77777777" w:rsidR="006706DE" w:rsidRPr="006706DE" w:rsidRDefault="006706DE" w:rsidP="0011676F">
      <w:pPr>
        <w:pStyle w:val="BodyText"/>
        <w:numPr>
          <w:ilvl w:val="0"/>
          <w:numId w:val="22"/>
        </w:numPr>
        <w:rPr>
          <w:lang w:val="en-US"/>
        </w:rPr>
      </w:pPr>
      <w:proofErr w:type="spellStart"/>
      <w:r w:rsidRPr="006706DE">
        <w:rPr>
          <w:lang w:val="en-US"/>
        </w:rPr>
        <w:t>Περι</w:t>
      </w:r>
      <w:proofErr w:type="spellEnd"/>
      <w:r w:rsidRPr="006706DE">
        <w:rPr>
          <w:lang w:val="en-US"/>
        </w:rPr>
        <w:t xml:space="preserve">βαλλοντικά </w:t>
      </w:r>
      <w:proofErr w:type="spellStart"/>
      <w:r w:rsidRPr="006706DE">
        <w:rPr>
          <w:lang w:val="en-US"/>
        </w:rPr>
        <w:t>Θέμ</w:t>
      </w:r>
      <w:proofErr w:type="spellEnd"/>
      <w:r w:rsidRPr="006706DE">
        <w:rPr>
          <w:lang w:val="en-US"/>
        </w:rPr>
        <w:t>ατα</w:t>
      </w:r>
    </w:p>
    <w:p w14:paraId="3C43D898" w14:textId="77777777" w:rsidR="006706DE" w:rsidRPr="006706DE" w:rsidRDefault="006706DE" w:rsidP="0011676F">
      <w:pPr>
        <w:pStyle w:val="BodyText"/>
        <w:numPr>
          <w:ilvl w:val="0"/>
          <w:numId w:val="22"/>
        </w:numPr>
        <w:rPr>
          <w:lang w:val="en-US"/>
        </w:rPr>
      </w:pPr>
      <w:proofErr w:type="spellStart"/>
      <w:r w:rsidRPr="006706DE">
        <w:rPr>
          <w:lang w:val="en-US"/>
        </w:rPr>
        <w:t>Κυκλοφορι</w:t>
      </w:r>
      <w:proofErr w:type="spellEnd"/>
      <w:r w:rsidRPr="006706DE">
        <w:rPr>
          <w:lang w:val="en-US"/>
        </w:rPr>
        <w:t xml:space="preserve">ακά </w:t>
      </w:r>
      <w:proofErr w:type="spellStart"/>
      <w:r w:rsidRPr="006706DE">
        <w:rPr>
          <w:lang w:val="en-US"/>
        </w:rPr>
        <w:t>Θέμ</w:t>
      </w:r>
      <w:proofErr w:type="spellEnd"/>
      <w:r w:rsidRPr="006706DE">
        <w:rPr>
          <w:lang w:val="en-US"/>
        </w:rPr>
        <w:t>ατα</w:t>
      </w:r>
    </w:p>
    <w:p w14:paraId="11D900B6" w14:textId="77777777" w:rsidR="006706DE" w:rsidRPr="006706DE" w:rsidRDefault="006706DE" w:rsidP="0011676F">
      <w:pPr>
        <w:pStyle w:val="BodyText"/>
        <w:numPr>
          <w:ilvl w:val="0"/>
          <w:numId w:val="22"/>
        </w:numPr>
      </w:pPr>
      <w:r w:rsidRPr="006706DE">
        <w:t>Θέματα Πολιτικής Προστασίας (καιρικά φαινόμενα, σεισμοί, πυρκαγιές κ.α.)</w:t>
      </w:r>
    </w:p>
    <w:p w14:paraId="4CFCF027" w14:textId="77777777" w:rsidR="006706DE" w:rsidRPr="006706DE" w:rsidRDefault="006706DE" w:rsidP="0011676F">
      <w:pPr>
        <w:pStyle w:val="BodyText"/>
        <w:numPr>
          <w:ilvl w:val="0"/>
          <w:numId w:val="22"/>
        </w:numPr>
        <w:rPr>
          <w:lang w:val="en-US"/>
        </w:rPr>
      </w:pPr>
      <w:proofErr w:type="spellStart"/>
      <w:r w:rsidRPr="006706DE">
        <w:rPr>
          <w:lang w:val="en-US"/>
        </w:rPr>
        <w:t>Εκ</w:t>
      </w:r>
      <w:proofErr w:type="spellEnd"/>
      <w:r w:rsidRPr="006706DE">
        <w:rPr>
          <w:lang w:val="en-US"/>
        </w:rPr>
        <w:t xml:space="preserve">παιδευτικά </w:t>
      </w:r>
      <w:proofErr w:type="spellStart"/>
      <w:r w:rsidRPr="006706DE">
        <w:rPr>
          <w:lang w:val="en-US"/>
        </w:rPr>
        <w:t>Θέμ</w:t>
      </w:r>
      <w:proofErr w:type="spellEnd"/>
      <w:r w:rsidRPr="006706DE">
        <w:rPr>
          <w:lang w:val="en-US"/>
        </w:rPr>
        <w:t>ατα</w:t>
      </w:r>
    </w:p>
    <w:p w14:paraId="1E95DE30" w14:textId="77777777" w:rsidR="006706DE" w:rsidRPr="006706DE" w:rsidRDefault="006706DE" w:rsidP="0011676F">
      <w:pPr>
        <w:pStyle w:val="BodyText"/>
        <w:numPr>
          <w:ilvl w:val="0"/>
          <w:numId w:val="22"/>
        </w:numPr>
      </w:pPr>
      <w:r w:rsidRPr="006706DE">
        <w:t>Θέματα Κοινωνικής Πολιτικής (Ενδοοικογενειακή Βία, Ισότητα, θέματα Ατόμων με Αναπηρία, κ.α.)</w:t>
      </w:r>
    </w:p>
    <w:p w14:paraId="76799EFE" w14:textId="77777777" w:rsidR="006706DE" w:rsidRPr="006706DE" w:rsidRDefault="006706DE" w:rsidP="0011676F">
      <w:pPr>
        <w:pStyle w:val="BodyText"/>
        <w:numPr>
          <w:ilvl w:val="0"/>
          <w:numId w:val="22"/>
        </w:numPr>
        <w:rPr>
          <w:lang w:val="en-US"/>
        </w:rPr>
      </w:pPr>
      <w:proofErr w:type="spellStart"/>
      <w:r w:rsidRPr="006706DE">
        <w:rPr>
          <w:lang w:val="en-US"/>
        </w:rPr>
        <w:t>Γενικά</w:t>
      </w:r>
      <w:proofErr w:type="spellEnd"/>
      <w:r w:rsidRPr="006706DE">
        <w:rPr>
          <w:lang w:val="en-US"/>
        </w:rPr>
        <w:t xml:space="preserve"> </w:t>
      </w:r>
      <w:proofErr w:type="spellStart"/>
      <w:r w:rsidRPr="006706DE">
        <w:rPr>
          <w:lang w:val="en-US"/>
        </w:rPr>
        <w:t>θέμ</w:t>
      </w:r>
      <w:proofErr w:type="spellEnd"/>
      <w:r w:rsidRPr="006706DE">
        <w:rPr>
          <w:lang w:val="en-US"/>
        </w:rPr>
        <w:t xml:space="preserve">ατα </w:t>
      </w:r>
      <w:proofErr w:type="spellStart"/>
      <w:r w:rsidRPr="006706DE">
        <w:rPr>
          <w:lang w:val="en-US"/>
        </w:rPr>
        <w:t>Κρίσεων</w:t>
      </w:r>
      <w:proofErr w:type="spellEnd"/>
    </w:p>
    <w:p w14:paraId="32D56205" w14:textId="77777777" w:rsidR="006706DE" w:rsidRPr="006706DE" w:rsidRDefault="006706DE" w:rsidP="0011676F">
      <w:pPr>
        <w:pStyle w:val="BodyText"/>
        <w:numPr>
          <w:ilvl w:val="0"/>
          <w:numId w:val="22"/>
        </w:numPr>
      </w:pPr>
      <w:r w:rsidRPr="006706DE">
        <w:t xml:space="preserve">Σε διάφορους άλλους Πυλώνες Τοπικών και </w:t>
      </w:r>
      <w:proofErr w:type="spellStart"/>
      <w:r w:rsidRPr="006706DE">
        <w:t>Υπερτοπικών</w:t>
      </w:r>
      <w:proofErr w:type="spellEnd"/>
      <w:r w:rsidRPr="006706DE">
        <w:t xml:space="preserve"> Δράσεων.</w:t>
      </w:r>
    </w:p>
    <w:p w14:paraId="3F1E3B73" w14:textId="77777777" w:rsidR="006706DE" w:rsidRPr="006706DE" w:rsidRDefault="006706DE" w:rsidP="006706DE">
      <w:pPr>
        <w:pStyle w:val="BodyText"/>
        <w:rPr>
          <w:b/>
        </w:rPr>
      </w:pPr>
      <w:r w:rsidRPr="006706DE">
        <w:t xml:space="preserve">Η βασική επιδίωξη της διαφήμισης είναι </w:t>
      </w:r>
      <w:r w:rsidRPr="006706DE">
        <w:rPr>
          <w:b/>
        </w:rPr>
        <w:t>ο επηρεασμός της συμπεριφοράς αλλά και της διάθεσης του πολίτη/καταναλωτή</w:t>
      </w:r>
      <w:r w:rsidRPr="006706DE">
        <w:t xml:space="preserve"> ώστε να προκαλέσει τη θετική αντίδραση του απέναντι στα είδη που διαφημίζονται είτε αυτά είναι αγαθά είτε υπηρεσίες. Η διαφήμιση στοχεύει </w:t>
      </w:r>
      <w:r w:rsidRPr="006706DE">
        <w:rPr>
          <w:b/>
        </w:rPr>
        <w:t>στην αύξηση των πωλήσεων</w:t>
      </w:r>
      <w:r w:rsidRPr="006706DE">
        <w:t xml:space="preserve"> και όχι μόνον, αφού ένας από τους στόχους της είναι η πληροφόρηση του κοινού για την ύπαρξη ενός νέου αγαθού ή ακόμη και η υπενθύμιση για την ύπαρξη προϊόντων που ήδη υπάρχουν τόσο σε παλαιούς όσο και σε νέους πελάτες. Ακόμη, ένας από τους βασικότερους σκοπούς της διαφήμισης είναι να πείσει τους εν δυνάμει πελάτες για τις ιδιότητες του διαφημιζόμενου αγαθού </w:t>
      </w:r>
      <w:r w:rsidRPr="006706DE">
        <w:rPr>
          <w:b/>
        </w:rPr>
        <w:t>και ότι αξίζει να το δοκιμάσουν (</w:t>
      </w:r>
      <w:r w:rsidRPr="006706DE">
        <w:rPr>
          <w:b/>
          <w:lang w:val="en-US"/>
        </w:rPr>
        <w:t>Trial</w:t>
      </w:r>
      <w:r w:rsidRPr="006706DE">
        <w:rPr>
          <w:b/>
        </w:rPr>
        <w:t>).</w:t>
      </w:r>
    </w:p>
    <w:p w14:paraId="05DB7842" w14:textId="77777777" w:rsidR="006706DE" w:rsidRPr="006706DE" w:rsidRDefault="006706DE" w:rsidP="006706DE">
      <w:pPr>
        <w:pStyle w:val="BodyText"/>
      </w:pPr>
      <w:r w:rsidRPr="006706DE">
        <w:t>Η Διαφήμιση αποτελεί ένα από τα εργαλεία της προώθησης κάθε ιδιωτικού ή δημόσιου φορέα και ένα στρατηγικό όπλο για τους ανθρώπους της επικοινωνίας Μ</w:t>
      </w:r>
      <w:proofErr w:type="spellStart"/>
      <w:r w:rsidRPr="006706DE">
        <w:rPr>
          <w:lang w:val="en-US"/>
        </w:rPr>
        <w:t>arketing</w:t>
      </w:r>
      <w:proofErr w:type="spellEnd"/>
      <w:r w:rsidRPr="006706DE">
        <w:t xml:space="preserve">. Στην ουσία πρόκειται για μια </w:t>
      </w:r>
      <w:r w:rsidRPr="006706DE">
        <w:rPr>
          <w:b/>
        </w:rPr>
        <w:t>διαδικασία επικοινωνίας που βρίσκεται σε διαρκή εξέλιξη</w:t>
      </w:r>
      <w:r w:rsidRPr="006706DE">
        <w:t xml:space="preserve"> και συνέχεια προσαρμόζεται στα υπάρχοντα δεδομένα της αγοράς και της κοινωνίας.  Σε κάθε περίπτωση, τα μηνύματα της συνδέονται άρρηκτα με τα ίδια τα προϊόντα, τις υπηρεσίες ή τις ιδέες και ανταποκρίνονται στην ποιότητά τους.</w:t>
      </w:r>
    </w:p>
    <w:p w14:paraId="4FA12869" w14:textId="77777777" w:rsidR="006706DE" w:rsidRPr="006706DE" w:rsidRDefault="006706DE" w:rsidP="006706DE">
      <w:pPr>
        <w:pStyle w:val="BodyText"/>
      </w:pPr>
      <w:r w:rsidRPr="006706DE">
        <w:lastRenderedPageBreak/>
        <w:t>Πιο συγκεκριμένα, οι στόχοι της διαφήμισης χωρίζονται στις εξής κατηγορίες:</w:t>
      </w:r>
    </w:p>
    <w:p w14:paraId="749812F7" w14:textId="77777777" w:rsidR="006706DE" w:rsidRPr="006706DE" w:rsidRDefault="006706DE" w:rsidP="006706DE">
      <w:pPr>
        <w:pStyle w:val="BodyText"/>
        <w:rPr>
          <w:b/>
        </w:rPr>
      </w:pPr>
      <w:bookmarkStart w:id="10" w:name="_Toc40225530"/>
      <w:bookmarkStart w:id="11" w:name="_Toc62040762"/>
      <w:bookmarkStart w:id="12" w:name="_Toc89086994"/>
      <w:bookmarkStart w:id="13" w:name="_Toc89090478"/>
      <w:bookmarkStart w:id="14" w:name="_Toc113636914"/>
      <w:r w:rsidRPr="006706DE">
        <w:rPr>
          <w:b/>
        </w:rPr>
        <w:t>Κατηγορίες στόχων διαφήμισης</w:t>
      </w:r>
      <w:bookmarkEnd w:id="10"/>
      <w:bookmarkEnd w:id="11"/>
      <w:bookmarkEnd w:id="12"/>
      <w:bookmarkEnd w:id="13"/>
      <w:bookmarkEnd w:id="14"/>
    </w:p>
    <w:p w14:paraId="091C913C" w14:textId="77777777" w:rsidR="006706DE" w:rsidRPr="006706DE" w:rsidRDefault="006706DE" w:rsidP="0011676F">
      <w:pPr>
        <w:pStyle w:val="BodyText"/>
        <w:numPr>
          <w:ilvl w:val="0"/>
          <w:numId w:val="19"/>
        </w:numPr>
        <w:rPr>
          <w:b/>
        </w:rPr>
      </w:pPr>
      <w:r w:rsidRPr="006706DE">
        <w:rPr>
          <w:b/>
        </w:rPr>
        <w:t>Γενικοί Στόχοι διαφήμισης (Δημόσιου ή Ιδιωτικού Φορέα)</w:t>
      </w:r>
    </w:p>
    <w:p w14:paraId="27FC55E2" w14:textId="77777777" w:rsidR="006706DE" w:rsidRPr="006706DE" w:rsidRDefault="006706DE" w:rsidP="006706DE">
      <w:pPr>
        <w:pStyle w:val="BodyText"/>
        <w:ind w:firstLine="720"/>
        <w:rPr>
          <w:b/>
        </w:rPr>
      </w:pPr>
      <w:bookmarkStart w:id="15" w:name="_Toc40225531"/>
      <w:bookmarkStart w:id="16" w:name="_Toc62040763"/>
      <w:r w:rsidRPr="006706DE">
        <w:rPr>
          <w:b/>
        </w:rPr>
        <w:t>Αναφέρονται στους στόχους της οντότητας όπως:</w:t>
      </w:r>
      <w:bookmarkEnd w:id="15"/>
      <w:bookmarkEnd w:id="16"/>
    </w:p>
    <w:p w14:paraId="16778397" w14:textId="77777777" w:rsidR="006706DE" w:rsidRPr="006706DE" w:rsidRDefault="006706DE" w:rsidP="0011676F">
      <w:pPr>
        <w:pStyle w:val="BodyText"/>
        <w:numPr>
          <w:ilvl w:val="0"/>
          <w:numId w:val="20"/>
        </w:numPr>
      </w:pPr>
      <w:r w:rsidRPr="006706DE">
        <w:t xml:space="preserve">Αύξηση της Δημοσιότητας του Οργανισμού/Φορέα </w:t>
      </w:r>
    </w:p>
    <w:p w14:paraId="01FFEC16" w14:textId="77777777" w:rsidR="006706DE" w:rsidRPr="006706DE" w:rsidRDefault="006706DE" w:rsidP="0011676F">
      <w:pPr>
        <w:pStyle w:val="BodyText"/>
        <w:numPr>
          <w:ilvl w:val="0"/>
          <w:numId w:val="20"/>
        </w:numPr>
      </w:pPr>
      <w:r w:rsidRPr="006706DE">
        <w:t>Αύξηση του Κύρους/Επιρροής  του Οργανισμού/Φορέα</w:t>
      </w:r>
    </w:p>
    <w:p w14:paraId="5210AC42" w14:textId="77777777" w:rsidR="006706DE" w:rsidRPr="006706DE" w:rsidRDefault="006706DE" w:rsidP="0011676F">
      <w:pPr>
        <w:pStyle w:val="BodyText"/>
        <w:numPr>
          <w:ilvl w:val="0"/>
          <w:numId w:val="20"/>
        </w:numPr>
        <w:rPr>
          <w:lang w:val="en-US"/>
        </w:rPr>
      </w:pPr>
      <w:proofErr w:type="spellStart"/>
      <w:r w:rsidRPr="006706DE">
        <w:rPr>
          <w:lang w:val="en-US"/>
        </w:rPr>
        <w:t>Αύξηση</w:t>
      </w:r>
      <w:proofErr w:type="spellEnd"/>
      <w:r w:rsidRPr="006706DE">
        <w:rPr>
          <w:lang w:val="en-US"/>
        </w:rPr>
        <w:t xml:space="preserve"> </w:t>
      </w:r>
      <w:proofErr w:type="spellStart"/>
      <w:r w:rsidRPr="006706DE">
        <w:rPr>
          <w:lang w:val="en-US"/>
        </w:rPr>
        <w:t>μεριδίου</w:t>
      </w:r>
      <w:proofErr w:type="spellEnd"/>
      <w:r w:rsidRPr="006706DE">
        <w:rPr>
          <w:lang w:val="en-US"/>
        </w:rPr>
        <w:t xml:space="preserve"> </w:t>
      </w:r>
      <w:proofErr w:type="spellStart"/>
      <w:r w:rsidRPr="006706DE">
        <w:rPr>
          <w:lang w:val="en-US"/>
        </w:rPr>
        <w:t>της</w:t>
      </w:r>
      <w:proofErr w:type="spellEnd"/>
      <w:r w:rsidRPr="006706DE">
        <w:rPr>
          <w:lang w:val="en-US"/>
        </w:rPr>
        <w:t xml:space="preserve"> α</w:t>
      </w:r>
      <w:proofErr w:type="spellStart"/>
      <w:r w:rsidRPr="006706DE">
        <w:rPr>
          <w:lang w:val="en-US"/>
        </w:rPr>
        <w:t>γοράς</w:t>
      </w:r>
      <w:proofErr w:type="spellEnd"/>
    </w:p>
    <w:p w14:paraId="64AD3685" w14:textId="77777777" w:rsidR="006706DE" w:rsidRPr="006706DE" w:rsidRDefault="006706DE" w:rsidP="0011676F">
      <w:pPr>
        <w:pStyle w:val="BodyText"/>
        <w:numPr>
          <w:ilvl w:val="0"/>
          <w:numId w:val="20"/>
        </w:numPr>
      </w:pPr>
      <w:r w:rsidRPr="006706DE">
        <w:t>Άνοδος των πωλήσεων - Άνοδος των κερδών</w:t>
      </w:r>
    </w:p>
    <w:p w14:paraId="6411754A" w14:textId="77777777" w:rsidR="006706DE" w:rsidRPr="006706DE" w:rsidRDefault="006706DE" w:rsidP="0011676F">
      <w:pPr>
        <w:pStyle w:val="BodyText"/>
        <w:numPr>
          <w:ilvl w:val="0"/>
          <w:numId w:val="20"/>
        </w:numPr>
        <w:rPr>
          <w:lang w:val="en-US"/>
        </w:rPr>
      </w:pPr>
      <w:proofErr w:type="spellStart"/>
      <w:r w:rsidRPr="006706DE">
        <w:rPr>
          <w:lang w:val="en-US"/>
        </w:rPr>
        <w:t>Εμ</w:t>
      </w:r>
      <w:proofErr w:type="spellEnd"/>
      <w:r w:rsidRPr="006706DE">
        <w:rPr>
          <w:lang w:val="en-US"/>
        </w:rPr>
        <w:t xml:space="preserve">πέδωση </w:t>
      </w:r>
      <w:proofErr w:type="spellStart"/>
      <w:r w:rsidRPr="006706DE">
        <w:rPr>
          <w:lang w:val="en-US"/>
        </w:rPr>
        <w:t>κλίμ</w:t>
      </w:r>
      <w:proofErr w:type="spellEnd"/>
      <w:r w:rsidRPr="006706DE">
        <w:rPr>
          <w:lang w:val="en-US"/>
        </w:rPr>
        <w:t xml:space="preserve">ατος </w:t>
      </w:r>
      <w:proofErr w:type="spellStart"/>
      <w:r w:rsidRPr="006706DE">
        <w:rPr>
          <w:lang w:val="en-US"/>
        </w:rPr>
        <w:t>εμ</w:t>
      </w:r>
      <w:proofErr w:type="spellEnd"/>
      <w:r w:rsidRPr="006706DE">
        <w:rPr>
          <w:lang w:val="en-US"/>
        </w:rPr>
        <w:t xml:space="preserve">πιστοσύνης </w:t>
      </w:r>
    </w:p>
    <w:p w14:paraId="0CCD8415" w14:textId="77777777" w:rsidR="006706DE" w:rsidRPr="006706DE" w:rsidRDefault="006706DE" w:rsidP="0011676F">
      <w:pPr>
        <w:pStyle w:val="BodyText"/>
        <w:numPr>
          <w:ilvl w:val="0"/>
          <w:numId w:val="19"/>
        </w:numPr>
        <w:rPr>
          <w:b/>
        </w:rPr>
      </w:pPr>
      <w:r w:rsidRPr="006706DE">
        <w:rPr>
          <w:b/>
        </w:rPr>
        <w:t>Ειδικοί Στόχοι διαφήμισης</w:t>
      </w:r>
    </w:p>
    <w:p w14:paraId="4350D832" w14:textId="77777777" w:rsidR="006706DE" w:rsidRPr="006706DE" w:rsidRDefault="006706DE" w:rsidP="006706DE">
      <w:pPr>
        <w:pStyle w:val="BodyText"/>
        <w:ind w:left="720"/>
      </w:pPr>
      <w:bookmarkStart w:id="17" w:name="_Toc40225532"/>
      <w:bookmarkStart w:id="18" w:name="_Toc62040764"/>
      <w:r w:rsidRPr="006706DE">
        <w:rPr>
          <w:b/>
        </w:rPr>
        <w:t>Αναφέρονται στα ενδιαφέροντα των πολιτών σχετικά µε τα προσφερόμενα είδη/υπηρεσίες  της οντότητας του Δημοσίου ή Ιδιωτικού Φορέα όπως:</w:t>
      </w:r>
      <w:bookmarkEnd w:id="17"/>
      <w:bookmarkEnd w:id="18"/>
      <w:r w:rsidRPr="006706DE">
        <w:t xml:space="preserve"> </w:t>
      </w:r>
    </w:p>
    <w:p w14:paraId="0F82C358" w14:textId="77777777" w:rsidR="006706DE" w:rsidRPr="006706DE" w:rsidRDefault="006706DE" w:rsidP="0011676F">
      <w:pPr>
        <w:pStyle w:val="BodyText"/>
        <w:numPr>
          <w:ilvl w:val="0"/>
          <w:numId w:val="21"/>
        </w:numPr>
      </w:pPr>
      <w:r w:rsidRPr="006706DE">
        <w:t>δημοσίευση της εισαγωγής μίας νέας Υπηρεσίας ή Αγαθού στην αγορά.</w:t>
      </w:r>
    </w:p>
    <w:p w14:paraId="268CBDE5" w14:textId="77777777" w:rsidR="006706DE" w:rsidRPr="006706DE" w:rsidRDefault="006706DE" w:rsidP="0011676F">
      <w:pPr>
        <w:pStyle w:val="BodyText"/>
        <w:numPr>
          <w:ilvl w:val="0"/>
          <w:numId w:val="21"/>
        </w:numPr>
      </w:pPr>
      <w:r w:rsidRPr="006706DE">
        <w:t>δημοσίευση της εισαγωγής της Υπηρεσίας ή Αγαθού σε µ</w:t>
      </w:r>
      <w:proofErr w:type="spellStart"/>
      <w:r w:rsidRPr="006706DE">
        <w:t>ια</w:t>
      </w:r>
      <w:proofErr w:type="spellEnd"/>
      <w:r w:rsidRPr="006706DE">
        <w:t xml:space="preserve"> νέα γεωγραφική περιοχή.</w:t>
      </w:r>
    </w:p>
    <w:p w14:paraId="005DB324" w14:textId="77777777" w:rsidR="006706DE" w:rsidRPr="006706DE" w:rsidRDefault="006706DE" w:rsidP="0011676F">
      <w:pPr>
        <w:pStyle w:val="BodyText"/>
        <w:numPr>
          <w:ilvl w:val="0"/>
          <w:numId w:val="21"/>
        </w:numPr>
      </w:pPr>
      <w:r w:rsidRPr="006706DE">
        <w:t>να πείσει τους πολίτες ότι η Υπηρεσία/Αγαθό που διαφημίζεται έχει περισσότερα θετικά από άλλα αντίστοιχα</w:t>
      </w:r>
    </w:p>
    <w:p w14:paraId="25AE215B" w14:textId="77777777" w:rsidR="006706DE" w:rsidRPr="006706DE" w:rsidRDefault="006706DE" w:rsidP="0011676F">
      <w:pPr>
        <w:pStyle w:val="BodyText"/>
        <w:numPr>
          <w:ilvl w:val="0"/>
          <w:numId w:val="21"/>
        </w:numPr>
      </w:pPr>
      <w:r w:rsidRPr="006706DE">
        <w:t>να πείσει τους  πολίτες για την αξία της Υπηρεσίας/Αγαθού ώστε να επιλεγεί έναντι των ανταγωνιστών του (συγκριτική διαφήμιση).</w:t>
      </w:r>
    </w:p>
    <w:p w14:paraId="24425928" w14:textId="77777777" w:rsidR="006706DE" w:rsidRPr="006706DE" w:rsidRDefault="006706DE" w:rsidP="0011676F">
      <w:pPr>
        <w:pStyle w:val="BodyText"/>
        <w:numPr>
          <w:ilvl w:val="0"/>
          <w:numId w:val="21"/>
        </w:numPr>
      </w:pPr>
      <w:r w:rsidRPr="006706DE">
        <w:t>να εξηγήσει τις περισσότερες χρήσεις της Υπηρεσίας/Αγαθού.</w:t>
      </w:r>
    </w:p>
    <w:p w14:paraId="20632521" w14:textId="77777777" w:rsidR="006706DE" w:rsidRPr="006706DE" w:rsidRDefault="006706DE" w:rsidP="0011676F">
      <w:pPr>
        <w:pStyle w:val="BodyText"/>
        <w:numPr>
          <w:ilvl w:val="0"/>
          <w:numId w:val="21"/>
        </w:numPr>
      </w:pPr>
      <w:r w:rsidRPr="006706DE">
        <w:t xml:space="preserve">να αναπτύξει την έννοια της παγκοσμιότητας για το συγκεκριμένο αγαθό. </w:t>
      </w:r>
    </w:p>
    <w:p w14:paraId="1694356A" w14:textId="77777777" w:rsidR="006706DE" w:rsidRPr="006706DE" w:rsidRDefault="006706DE" w:rsidP="006706DE">
      <w:pPr>
        <w:pStyle w:val="BodyText"/>
      </w:pPr>
      <w:r w:rsidRPr="006706DE">
        <w:t>Για την επιτυχία των ανωτέρω στόχων, σπουδαίο ρόλο παίζει τόσο η επιλογή των ΜΜΕ (αναλογικά ή ψηφιακά), το δημιουργικό που θα επινοήσουμε, και γενικά η μέθοδος της επικοινωνίας µέσω της οποίας γίνεται γνωστό το μήνυμα, όσο και η μέθοδος της πειθούς, που δημιουργεί ψυχικούς και πνευματικούς συνειρμούς του υποψήφιου πολίτη µε το συγκεκριμένο αγαθό.</w:t>
      </w:r>
    </w:p>
    <w:p w14:paraId="4ED1CF7D" w14:textId="77777777" w:rsidR="006706DE" w:rsidRPr="006706DE" w:rsidRDefault="006706DE" w:rsidP="006706DE">
      <w:pPr>
        <w:pStyle w:val="BodyText"/>
      </w:pPr>
      <w:r w:rsidRPr="006706DE">
        <w:t xml:space="preserve">Η διαφήμιση συνήθως στρέφεται </w:t>
      </w:r>
      <w:r w:rsidRPr="006706DE">
        <w:rPr>
          <w:b/>
        </w:rPr>
        <w:t>σε όλους τους πολίτες/καταναλωτές</w:t>
      </w:r>
      <w:r w:rsidRPr="006706DE">
        <w:t xml:space="preserve"> της αγοράς – στόχου της οντότητας. Οι άνθρωποι του Μάρκετινγκ, μπορεί να διαλέξουν ένα µόνο τμήμα από την αγορά – στόχο. Τα στελέχη Μάρκετινγκ, ερευνούν αναλύοντας την αγορά στόχο της οντότητας, για να φτιάξουν µία βάση πληροφόρησης για τη διαφημιστική καμπάνια. Τις περισσότερες φορές πληροφορίες που χρειάζονται είναι η καλή γνώση της αγοράς – στόχου, ο καταμερισμός των ηλικιών των καταναλωτών της αγοράς – στόχου, το εισόδημα, το φύλο, το επίπεδο εκπαίδευσης, η εθνικότητα και οι αγοραστικές επιλογές τους. </w:t>
      </w:r>
      <w:r w:rsidRPr="006706DE">
        <w:rPr>
          <w:b/>
        </w:rPr>
        <w:t xml:space="preserve">Όσο πιο πολλές πληροφορίες γνωρίζουν τόσο καλύτερο αποτέλεσμα θα έχει η </w:t>
      </w:r>
      <w:r w:rsidRPr="006706DE">
        <w:rPr>
          <w:b/>
        </w:rPr>
        <w:lastRenderedPageBreak/>
        <w:t>διαφημιστική/επικοινωνιακή καμπάνια</w:t>
      </w:r>
      <w:r w:rsidRPr="006706DE">
        <w:t>. Όταν µ</w:t>
      </w:r>
      <w:proofErr w:type="spellStart"/>
      <w:r w:rsidRPr="006706DE">
        <w:t>ια</w:t>
      </w:r>
      <w:proofErr w:type="spellEnd"/>
      <w:r w:rsidRPr="006706DE">
        <w:t xml:space="preserve"> αγορά – στόχος δεν έχει καθοριστεί µε σαφήνεια και δεν έχει εξεταστεί σωστά, η διαφημιστική καμπάνια συνήθως δεν επιτυγχάνει.</w:t>
      </w:r>
    </w:p>
    <w:p w14:paraId="6045F1D2" w14:textId="77777777" w:rsidR="0064038A" w:rsidRPr="006706DE" w:rsidRDefault="0064038A" w:rsidP="0064038A">
      <w:pPr>
        <w:pStyle w:val="BodyText"/>
      </w:pPr>
    </w:p>
    <w:p w14:paraId="1BB8126A" w14:textId="04487C74" w:rsidR="00DF0D32" w:rsidRPr="006706DE" w:rsidRDefault="00DF0D32" w:rsidP="0064038A">
      <w:pPr>
        <w:pStyle w:val="BodyText"/>
      </w:pPr>
      <w:r w:rsidRPr="006706DE">
        <w:br w:type="page"/>
      </w:r>
    </w:p>
    <w:p w14:paraId="7CC6B8E7" w14:textId="02DCC090" w:rsidR="0064038A" w:rsidRPr="00EF05CE" w:rsidRDefault="00EF05CE" w:rsidP="0064038A">
      <w:pPr>
        <w:pStyle w:val="Heading1"/>
        <w:numPr>
          <w:ilvl w:val="8"/>
          <w:numId w:val="9"/>
        </w:numPr>
        <w:shd w:val="clear" w:color="auto" w:fill="D9E2F3" w:themeFill="accent1" w:themeFillTint="33"/>
        <w:spacing w:before="240" w:after="120" w:line="288" w:lineRule="auto"/>
        <w:ind w:left="0" w:right="43" w:firstLine="0"/>
        <w:jc w:val="center"/>
      </w:pPr>
      <w:bookmarkStart w:id="19" w:name="_Toc139885150"/>
      <w:r w:rsidRPr="00EF05CE">
        <w:lastRenderedPageBreak/>
        <w:t>ΘΕΜΑΤΑ ΥΓΕΙΑΣ &amp; ΑΣΦΑΛΕΙΑΣ ΣΤΗΝ ΕΡΓΑΣΙΑ</w:t>
      </w:r>
      <w:bookmarkEnd w:id="19"/>
    </w:p>
    <w:p w14:paraId="6EB06363" w14:textId="081BA302" w:rsidR="0064038A" w:rsidRPr="0061741C" w:rsidRDefault="0064038A" w:rsidP="0064038A">
      <w:pPr>
        <w:pStyle w:val="Heading2"/>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highlight w:val="yellow"/>
        </w:rPr>
      </w:pPr>
      <w:bookmarkStart w:id="20" w:name="_Toc139885151"/>
      <w:r w:rsidRPr="00EF05CE">
        <w:rPr>
          <w:rFonts w:ascii="Times New Roman" w:hAnsi="Times New Roman" w:cs="Times New Roman"/>
          <w:b/>
          <w:bCs/>
          <w:color w:val="auto"/>
          <w:sz w:val="24"/>
          <w:szCs w:val="24"/>
        </w:rPr>
        <w:t xml:space="preserve">Α. </w:t>
      </w:r>
      <w:r w:rsidR="00EF05CE" w:rsidRPr="00EF05CE">
        <w:rPr>
          <w:rFonts w:ascii="Times New Roman" w:hAnsi="Times New Roman" w:cs="Times New Roman"/>
          <w:b/>
          <w:bCs/>
          <w:color w:val="auto"/>
          <w:sz w:val="24"/>
          <w:szCs w:val="24"/>
        </w:rPr>
        <w:t>Πρόληψη της θερμικής καταπόνησης των εργαζομένων</w:t>
      </w:r>
      <w:bookmarkEnd w:id="20"/>
    </w:p>
    <w:p w14:paraId="1D977A6F" w14:textId="77777777" w:rsidR="00EF05CE" w:rsidRPr="00EF05CE" w:rsidRDefault="00EF05CE" w:rsidP="00EF05CE">
      <w:pPr>
        <w:pStyle w:val="BodyText"/>
        <w:rPr>
          <w:b/>
        </w:rPr>
      </w:pPr>
      <w:r w:rsidRPr="00EF05CE">
        <w:t xml:space="preserve">Δημοσιεύτηκε και φέτος η Εγκύκλιος του Υπουργείου Εργασίας και Κοινωνικών Υποθέσεων με αριθμό πρωτοκόλλου </w:t>
      </w:r>
      <w:r w:rsidRPr="00EF05CE">
        <w:rPr>
          <w:b/>
        </w:rPr>
        <w:t xml:space="preserve">52903/26-5-2023 </w:t>
      </w:r>
      <w:r w:rsidRPr="00EF05CE">
        <w:t>και θέμα</w:t>
      </w:r>
      <w:r w:rsidRPr="00EF05CE">
        <w:rPr>
          <w:b/>
        </w:rPr>
        <w:t xml:space="preserve">: Πρόληψη της θερμικής καταπόνησης των εργαζομένων. </w:t>
      </w:r>
    </w:p>
    <w:p w14:paraId="5740B19D" w14:textId="77777777" w:rsidR="00EF05CE" w:rsidRPr="00EF05CE" w:rsidRDefault="00EF05CE" w:rsidP="00EF05CE">
      <w:pPr>
        <w:pStyle w:val="BodyText"/>
      </w:pPr>
    </w:p>
    <w:p w14:paraId="67EAC433" w14:textId="77777777" w:rsidR="00EF05CE" w:rsidRPr="00EF05CE" w:rsidRDefault="00EF05CE" w:rsidP="00EF05CE">
      <w:pPr>
        <w:pStyle w:val="BodyText"/>
      </w:pPr>
      <w:r w:rsidRPr="00EF05CE">
        <w:t xml:space="preserve">Είναι γνωστό ότι η  παρατεταμένη έκθεση σε υψηλές θερμοκρασίες, μπορεί να  προκαλέσει επιπτώσεις στην υγεία των εργαζομένων, είτε ήπιες είτε περισσότερο επικίνδυνες. Ιδιαίτερα κατά τις περιόδους που η Εθνική Μετεωρολογική Υπηρεσία προβλέπει επικράτηση συνθηκών καύσωνα, θα πρέπει στους χώρους εργασίας να λαμβάνονται τεχνικά και οργανωτικά μέτρα για την προστασία των εργαζομένων. </w:t>
      </w:r>
    </w:p>
    <w:p w14:paraId="3475D582" w14:textId="77777777" w:rsidR="00EF05CE" w:rsidRPr="00EF05CE" w:rsidRDefault="00EF05CE" w:rsidP="00EF05CE">
      <w:pPr>
        <w:pStyle w:val="BodyText"/>
        <w:rPr>
          <w:b/>
        </w:rPr>
      </w:pPr>
      <w:r w:rsidRPr="00EF05CE">
        <w:rPr>
          <w:b/>
        </w:rPr>
        <w:t>Επιπτώσεις της θερμικής καταπόνησης στην υγεία.</w:t>
      </w:r>
    </w:p>
    <w:p w14:paraId="278CB52B" w14:textId="77777777" w:rsidR="00EF05CE" w:rsidRPr="00EF05CE" w:rsidRDefault="00EF05CE" w:rsidP="00EF05CE">
      <w:pPr>
        <w:pStyle w:val="BodyText"/>
      </w:pPr>
      <w:r w:rsidRPr="00EF05CE">
        <w:t>Η παρατεταμένη έκθεση σε συνθήκες αυξημένης θερμοκρασίας ή/και υγρασίας μπορεί να προκαλέσει επιπτώσεις στην υγεία, όπως:</w:t>
      </w:r>
    </w:p>
    <w:p w14:paraId="5C0EFD66" w14:textId="77777777" w:rsidR="00EF05CE" w:rsidRPr="00EF05CE" w:rsidRDefault="00EF05CE" w:rsidP="0011676F">
      <w:pPr>
        <w:pStyle w:val="BodyText"/>
        <w:numPr>
          <w:ilvl w:val="0"/>
          <w:numId w:val="27"/>
        </w:numPr>
      </w:pPr>
      <w:r w:rsidRPr="00EF05CE">
        <w:t>Θερμικό εξάνθημα</w:t>
      </w:r>
    </w:p>
    <w:p w14:paraId="461C1689" w14:textId="77777777" w:rsidR="00EF05CE" w:rsidRPr="00EF05CE" w:rsidRDefault="00EF05CE" w:rsidP="0011676F">
      <w:pPr>
        <w:pStyle w:val="BodyText"/>
        <w:numPr>
          <w:ilvl w:val="0"/>
          <w:numId w:val="27"/>
        </w:numPr>
      </w:pPr>
      <w:r w:rsidRPr="00EF05CE">
        <w:t>Θερμικές κράμπες</w:t>
      </w:r>
    </w:p>
    <w:p w14:paraId="3E994F80" w14:textId="77777777" w:rsidR="00EF05CE" w:rsidRPr="00EF05CE" w:rsidRDefault="00EF05CE" w:rsidP="0011676F">
      <w:pPr>
        <w:pStyle w:val="BodyText"/>
        <w:numPr>
          <w:ilvl w:val="0"/>
          <w:numId w:val="27"/>
        </w:numPr>
      </w:pPr>
      <w:r w:rsidRPr="00EF05CE">
        <w:t>Θερμική εξάντληση</w:t>
      </w:r>
    </w:p>
    <w:p w14:paraId="1A8BB127" w14:textId="77777777" w:rsidR="00EF05CE" w:rsidRPr="00EF05CE" w:rsidRDefault="00EF05CE" w:rsidP="0011676F">
      <w:pPr>
        <w:pStyle w:val="BodyText"/>
        <w:numPr>
          <w:ilvl w:val="0"/>
          <w:numId w:val="27"/>
        </w:numPr>
      </w:pPr>
      <w:r w:rsidRPr="00EF05CE">
        <w:t>Θερμική κατάρρευση (λιποθυμία)</w:t>
      </w:r>
    </w:p>
    <w:p w14:paraId="7C17DBDD" w14:textId="77777777" w:rsidR="00EF05CE" w:rsidRPr="00EF05CE" w:rsidRDefault="00EF05CE" w:rsidP="0011676F">
      <w:pPr>
        <w:pStyle w:val="BodyText"/>
        <w:numPr>
          <w:ilvl w:val="0"/>
          <w:numId w:val="27"/>
        </w:numPr>
      </w:pPr>
      <w:r w:rsidRPr="00EF05CE">
        <w:t>Θερμικό οίδημα</w:t>
      </w:r>
    </w:p>
    <w:p w14:paraId="3A5A9E0E" w14:textId="77777777" w:rsidR="00EF05CE" w:rsidRPr="00EF05CE" w:rsidRDefault="00EF05CE" w:rsidP="0011676F">
      <w:pPr>
        <w:pStyle w:val="BodyText"/>
        <w:numPr>
          <w:ilvl w:val="0"/>
          <w:numId w:val="27"/>
        </w:numPr>
      </w:pPr>
      <w:r w:rsidRPr="00EF05CE">
        <w:t>Θερμική καταπληξία/θερμοπληξία</w:t>
      </w:r>
    </w:p>
    <w:p w14:paraId="416E40CC" w14:textId="77777777" w:rsidR="00EF05CE" w:rsidRPr="00EF05CE" w:rsidRDefault="00EF05CE" w:rsidP="00EF05CE">
      <w:pPr>
        <w:pStyle w:val="BodyText"/>
      </w:pPr>
    </w:p>
    <w:p w14:paraId="3DB8B76A" w14:textId="77777777" w:rsidR="00EF05CE" w:rsidRPr="00EF05CE" w:rsidRDefault="00EF05CE" w:rsidP="00EF05CE">
      <w:pPr>
        <w:pStyle w:val="BodyText"/>
        <w:rPr>
          <w:b/>
        </w:rPr>
      </w:pPr>
      <w:r w:rsidRPr="00EF05CE">
        <w:rPr>
          <w:b/>
        </w:rPr>
        <w:t>Χώροι εργασίας με επιπλέον θερμική καταπόνηση</w:t>
      </w:r>
    </w:p>
    <w:p w14:paraId="72612729" w14:textId="77777777" w:rsidR="00EF05CE" w:rsidRPr="00EF05CE" w:rsidRDefault="00EF05CE" w:rsidP="00EF05CE">
      <w:pPr>
        <w:pStyle w:val="BodyText"/>
      </w:pPr>
      <w:r w:rsidRPr="00EF05CE">
        <w:t>Οι δραστηριότητες κατά τις οποίες αναμένεται να υπάρχει επιπλέον θερμική καταπόνηση στους χώρους εργασίας είναι:</w:t>
      </w:r>
    </w:p>
    <w:p w14:paraId="14283EF1" w14:textId="77777777" w:rsidR="00EF05CE" w:rsidRPr="00EF05CE" w:rsidRDefault="00EF05CE" w:rsidP="0011676F">
      <w:pPr>
        <w:pStyle w:val="BodyText"/>
        <w:numPr>
          <w:ilvl w:val="0"/>
          <w:numId w:val="23"/>
        </w:numPr>
      </w:pPr>
      <w:r w:rsidRPr="00EF05CE">
        <w:t xml:space="preserve">Οι </w:t>
      </w:r>
      <w:r w:rsidRPr="00EF05CE">
        <w:rPr>
          <w:b/>
        </w:rPr>
        <w:t>υπαίθριες εργασίες</w:t>
      </w:r>
      <w:r w:rsidRPr="00EF05CE">
        <w:t xml:space="preserve"> (τεχνικά έργα, οικοδομικές εργασίες, οδικά έργα κλπ)</w:t>
      </w:r>
    </w:p>
    <w:p w14:paraId="67035E84" w14:textId="77777777" w:rsidR="00EF05CE" w:rsidRPr="00EF05CE" w:rsidRDefault="00EF05CE" w:rsidP="0011676F">
      <w:pPr>
        <w:pStyle w:val="BodyText"/>
        <w:numPr>
          <w:ilvl w:val="0"/>
          <w:numId w:val="23"/>
        </w:numPr>
      </w:pPr>
      <w:r w:rsidRPr="00EF05CE">
        <w:t xml:space="preserve">Οι εργασίες σε στεγασμένους χώρους, όπου λόγω της φύσης των παραγωγικών διαδικασιών υπάρχουν </w:t>
      </w:r>
      <w:r w:rsidRPr="00EF05CE">
        <w:rPr>
          <w:b/>
        </w:rPr>
        <w:t xml:space="preserve">υψηλές τιμές  θερμοκρασίας – υγρασίας, καθώς και ακτινοβολούμενη θερμότητα </w:t>
      </w:r>
      <w:r w:rsidRPr="00EF05CE">
        <w:t>(χυτήρια, μεταλλουργίες, βιομηχανίες πλαστικών, μαγειρεία κλπ)</w:t>
      </w:r>
    </w:p>
    <w:p w14:paraId="074DEC49" w14:textId="77777777" w:rsidR="00EF05CE" w:rsidRPr="00EF05CE" w:rsidRDefault="00EF05CE" w:rsidP="0011676F">
      <w:pPr>
        <w:pStyle w:val="BodyText"/>
        <w:numPr>
          <w:ilvl w:val="0"/>
          <w:numId w:val="23"/>
        </w:numPr>
      </w:pPr>
      <w:r w:rsidRPr="00EF05CE">
        <w:t xml:space="preserve">Όπου εκτελούνται </w:t>
      </w:r>
      <w:r w:rsidRPr="00EF05CE">
        <w:rPr>
          <w:b/>
        </w:rPr>
        <w:t xml:space="preserve">χειρωνακτικές εργασίες </w:t>
      </w:r>
      <w:r w:rsidRPr="00EF05CE">
        <w:t xml:space="preserve">(πχ μεταφορά οικοδομικών υλικών, </w:t>
      </w:r>
      <w:proofErr w:type="spellStart"/>
      <w:r w:rsidRPr="00EF05CE">
        <w:t>βαρέων</w:t>
      </w:r>
      <w:proofErr w:type="spellEnd"/>
      <w:r w:rsidRPr="00EF05CE">
        <w:t xml:space="preserve"> αντικειμένων κλπ)</w:t>
      </w:r>
    </w:p>
    <w:p w14:paraId="536E696F" w14:textId="77777777" w:rsidR="00EF05CE" w:rsidRPr="00EF05CE" w:rsidRDefault="00EF05CE" w:rsidP="00EF05CE">
      <w:pPr>
        <w:pStyle w:val="BodyText"/>
        <w:rPr>
          <w:b/>
        </w:rPr>
      </w:pPr>
      <w:r w:rsidRPr="00EF05CE">
        <w:rPr>
          <w:b/>
        </w:rPr>
        <w:t>Ομάδες υψηλού κινδύνου</w:t>
      </w:r>
    </w:p>
    <w:p w14:paraId="4DCFBB03" w14:textId="77777777" w:rsidR="00EF05CE" w:rsidRPr="00EF05CE" w:rsidRDefault="00EF05CE" w:rsidP="00EF05CE">
      <w:pPr>
        <w:pStyle w:val="BodyText"/>
      </w:pPr>
      <w:r w:rsidRPr="00EF05CE">
        <w:lastRenderedPageBreak/>
        <w:t xml:space="preserve">Ιδιαίτερη μέριμνα πρέπει να λαμβάνεται για τους εργαζόμενους που ανήκουν σε ομάδες υψηλού κινδύνου όπως </w:t>
      </w:r>
      <w:proofErr w:type="spellStart"/>
      <w:r w:rsidRPr="00EF05CE">
        <w:t>έγκυες</w:t>
      </w:r>
      <w:proofErr w:type="spellEnd"/>
      <w:r w:rsidRPr="00EF05CE">
        <w:t xml:space="preserve"> και θηλάζουσες γυναίκες, υπέρβαρα ή παχύσαρκα άτομα, άτομα με χρόνιες παθήσεις όπως υπέρταση, σακχαρώδη διαβήτη, πνευμονοπάθειες, νεφροπάθειες, ηπατοπάθειες κλπ. Η ένταξη των εργαζομένων στις παραπάνω ομάδες γίνεται από τον ιατρό εργασίας, όταν απασχολείται στην επιχείρηση ή σε διαφορετική περίπτωση με ιατρική βεβαίωση που προσκομίζει ο ίδιος ο εργαζόμενος.</w:t>
      </w:r>
    </w:p>
    <w:p w14:paraId="35464D50" w14:textId="77777777" w:rsidR="00EF05CE" w:rsidRPr="00EF05CE" w:rsidRDefault="00EF05CE" w:rsidP="00EF05CE">
      <w:pPr>
        <w:pStyle w:val="BodyText"/>
        <w:rPr>
          <w:b/>
        </w:rPr>
      </w:pPr>
    </w:p>
    <w:p w14:paraId="6510CD21" w14:textId="77777777" w:rsidR="00EF05CE" w:rsidRPr="00EF05CE" w:rsidRDefault="00EF05CE" w:rsidP="00EF05CE">
      <w:pPr>
        <w:pStyle w:val="BodyText"/>
        <w:rPr>
          <w:b/>
        </w:rPr>
      </w:pPr>
      <w:r w:rsidRPr="00EF05CE">
        <w:rPr>
          <w:b/>
        </w:rPr>
        <w:t>Υποχρεώσεις εργοδοτών</w:t>
      </w:r>
    </w:p>
    <w:p w14:paraId="509A4760" w14:textId="77777777" w:rsidR="00EF05CE" w:rsidRPr="00EF05CE" w:rsidRDefault="00EF05CE" w:rsidP="00EF05CE">
      <w:pPr>
        <w:pStyle w:val="BodyText"/>
      </w:pPr>
      <w:r w:rsidRPr="00EF05CE">
        <w:t>Οι εργοδότες υποχρεούνται:</w:t>
      </w:r>
    </w:p>
    <w:p w14:paraId="49B1064A" w14:textId="77777777" w:rsidR="00EF05CE" w:rsidRPr="00EF05CE" w:rsidRDefault="00EF05CE" w:rsidP="0011676F">
      <w:pPr>
        <w:pStyle w:val="BodyText"/>
        <w:numPr>
          <w:ilvl w:val="0"/>
          <w:numId w:val="24"/>
        </w:numPr>
      </w:pPr>
      <w:r w:rsidRPr="00EF05CE">
        <w:t>Να προσδιορίζουν τις εργασίες και τούς χώρους εργασίας όπου ο κίνδυνος θερμικής καταπόνησης των εργαζομένων αναμένεται να είναι αυξημένος (αποτύπωση των παραπάνω στην Γραπτή Εκτίμηση Επαγγελματικού Κινδύνου της επιχείρησης)</w:t>
      </w:r>
    </w:p>
    <w:p w14:paraId="274B2B9D" w14:textId="77777777" w:rsidR="00EF05CE" w:rsidRPr="00EF05CE" w:rsidRDefault="00EF05CE" w:rsidP="0011676F">
      <w:pPr>
        <w:pStyle w:val="BodyText"/>
        <w:numPr>
          <w:ilvl w:val="0"/>
          <w:numId w:val="24"/>
        </w:numPr>
      </w:pPr>
      <w:r w:rsidRPr="00EF05CE">
        <w:t>Να λαμβάνουν τα κατάλληλα τεχνικά και οργανωτικά μέτρα</w:t>
      </w:r>
    </w:p>
    <w:p w14:paraId="09D4DAA3" w14:textId="77777777" w:rsidR="00EF05CE" w:rsidRPr="00EF05CE" w:rsidRDefault="00EF05CE" w:rsidP="0011676F">
      <w:pPr>
        <w:pStyle w:val="BodyText"/>
        <w:numPr>
          <w:ilvl w:val="0"/>
          <w:numId w:val="24"/>
        </w:numPr>
      </w:pPr>
      <w:r w:rsidRPr="00EF05CE">
        <w:t>Να οργανώνουν την κατάλληλη υποδομή για την αντιμετώπιση καταστάσεων έκτακτης ανάγκης και την παροχή πρώτων  βοηθειών</w:t>
      </w:r>
    </w:p>
    <w:p w14:paraId="45D46652" w14:textId="77777777" w:rsidR="00EF05CE" w:rsidRPr="00EF05CE" w:rsidRDefault="00EF05CE" w:rsidP="0011676F">
      <w:pPr>
        <w:pStyle w:val="BodyText"/>
        <w:numPr>
          <w:ilvl w:val="0"/>
          <w:numId w:val="24"/>
        </w:numPr>
      </w:pPr>
      <w:r w:rsidRPr="00EF05CE">
        <w:t>Να ενημερώνουν και να παρέχουν οδηγίες στους εργαζόμενους</w:t>
      </w:r>
    </w:p>
    <w:p w14:paraId="00664018" w14:textId="77777777" w:rsidR="00EF05CE" w:rsidRPr="00EF05CE" w:rsidRDefault="00EF05CE" w:rsidP="0011676F">
      <w:pPr>
        <w:pStyle w:val="BodyText"/>
        <w:numPr>
          <w:ilvl w:val="0"/>
          <w:numId w:val="24"/>
        </w:numPr>
      </w:pPr>
      <w:r w:rsidRPr="00EF05CE">
        <w:t>Να χορηγούν στους εργαζόμενους Μέσα Ατομικής Προστασίας κλπ</w:t>
      </w:r>
    </w:p>
    <w:p w14:paraId="6DB58633" w14:textId="77777777" w:rsidR="00EF05CE" w:rsidRPr="00EF05CE" w:rsidRDefault="00EF05CE" w:rsidP="00EF05CE">
      <w:pPr>
        <w:pStyle w:val="BodyText"/>
        <w:rPr>
          <w:b/>
        </w:rPr>
      </w:pPr>
    </w:p>
    <w:p w14:paraId="67EA362E" w14:textId="77777777" w:rsidR="00EF05CE" w:rsidRPr="00EF05CE" w:rsidRDefault="00EF05CE" w:rsidP="00EF05CE">
      <w:pPr>
        <w:pStyle w:val="BodyText"/>
        <w:rPr>
          <w:b/>
        </w:rPr>
      </w:pPr>
      <w:r w:rsidRPr="00EF05CE">
        <w:rPr>
          <w:b/>
        </w:rPr>
        <w:t>Ο ρόλος του τεχνικού ασφαλείας – ιατρού εργασίας</w:t>
      </w:r>
    </w:p>
    <w:p w14:paraId="1F2D8144" w14:textId="77777777" w:rsidR="00EF05CE" w:rsidRPr="00EF05CE" w:rsidRDefault="00EF05CE" w:rsidP="00EF05CE">
      <w:pPr>
        <w:pStyle w:val="BodyText"/>
      </w:pPr>
      <w:r w:rsidRPr="00EF05CE">
        <w:t>Οι επαγγελματίες λοιπόν της Ασφάλειας και Υγείας στην Εργασία, δηλαδή οι τεχνικοί ασφαλείας και οι ιατροί εργασίας, οφείλουν να ενημερώνουν για το θέμα αυτό τις επιχειρήσεις, όπου απασχολούνται και να υποδεικνύουν τόσο τα τεχνικά όσο και τα οργανωτικά μέτρα για την πρόληψη της θερμικής καταπόνησης των εργαζομένων.</w:t>
      </w:r>
    </w:p>
    <w:p w14:paraId="16A6B5B6" w14:textId="77777777" w:rsidR="00EF05CE" w:rsidRPr="00EF05CE" w:rsidRDefault="00EF05CE" w:rsidP="00EF05CE">
      <w:pPr>
        <w:pStyle w:val="BodyText"/>
        <w:rPr>
          <w:b/>
        </w:rPr>
      </w:pPr>
    </w:p>
    <w:p w14:paraId="1495D39F" w14:textId="77777777" w:rsidR="00EF05CE" w:rsidRPr="00EF05CE" w:rsidRDefault="00EF05CE" w:rsidP="00EF05CE">
      <w:pPr>
        <w:pStyle w:val="BodyText"/>
        <w:rPr>
          <w:b/>
        </w:rPr>
      </w:pPr>
      <w:r w:rsidRPr="00EF05CE">
        <w:rPr>
          <w:b/>
        </w:rPr>
        <w:t>Τεχνικά μέτρα για την πρόληψη της θερμικής καταπόνησης</w:t>
      </w:r>
    </w:p>
    <w:p w14:paraId="52E43FB2" w14:textId="77777777" w:rsidR="00EF05CE" w:rsidRPr="00EF05CE" w:rsidRDefault="00EF05CE" w:rsidP="0011676F">
      <w:pPr>
        <w:pStyle w:val="BodyText"/>
        <w:numPr>
          <w:ilvl w:val="0"/>
          <w:numId w:val="25"/>
        </w:numPr>
      </w:pPr>
      <w:r w:rsidRPr="00EF05CE">
        <w:t xml:space="preserve">Παρεμβάσεις στα δομικά στοιχεία των κτιρίων (θερμομόνωση στέγης ή πλάκας, κατασκευή σκιάστρων, τοποθέτηση αδιαφανών ή αντανακλαστικών τζαμιών, εγκατάσταση </w:t>
      </w:r>
      <w:proofErr w:type="spellStart"/>
      <w:r w:rsidRPr="00EF05CE">
        <w:t>αεροκουρτίνας</w:t>
      </w:r>
      <w:proofErr w:type="spellEnd"/>
      <w:r w:rsidRPr="00EF05CE">
        <w:t xml:space="preserve"> ψυχρού αέρα κλπ).</w:t>
      </w:r>
    </w:p>
    <w:p w14:paraId="196C6DB4" w14:textId="77777777" w:rsidR="00EF05CE" w:rsidRPr="00EF05CE" w:rsidRDefault="00EF05CE" w:rsidP="0011676F">
      <w:pPr>
        <w:pStyle w:val="BodyText"/>
        <w:numPr>
          <w:ilvl w:val="0"/>
          <w:numId w:val="25"/>
        </w:numPr>
      </w:pPr>
      <w:r w:rsidRPr="00EF05CE">
        <w:t>Παρεμβάσεις σε τμήματα της παραγωγικής διαδικασίας (μόνωση θερμών επιφανειών όπως σωλήνες ζεστού νερού, απομόνωση πηγών θερμότητας κλπ).</w:t>
      </w:r>
    </w:p>
    <w:p w14:paraId="6FB9444A" w14:textId="77777777" w:rsidR="00EF05CE" w:rsidRPr="00EF05CE" w:rsidRDefault="00EF05CE" w:rsidP="0011676F">
      <w:pPr>
        <w:pStyle w:val="BodyText"/>
        <w:numPr>
          <w:ilvl w:val="0"/>
          <w:numId w:val="25"/>
        </w:numPr>
      </w:pPr>
      <w:r w:rsidRPr="00EF05CE">
        <w:t xml:space="preserve">Παρεμβάσεις στο </w:t>
      </w:r>
      <w:proofErr w:type="spellStart"/>
      <w:r w:rsidRPr="00EF05CE">
        <w:t>μικροκλίμα</w:t>
      </w:r>
      <w:proofErr w:type="spellEnd"/>
      <w:r w:rsidRPr="00EF05CE">
        <w:t xml:space="preserve"> του εργασιακού χώρου (επαρκής φυσικός αερισμός ή εγκατάσταση τεχνητού αερισμού, τοπική απαγωγή θερμού αέρα, εγκατάσταση κλιματιστικών μηχανημάτων κλπ).</w:t>
      </w:r>
    </w:p>
    <w:p w14:paraId="317DCA0A" w14:textId="77777777" w:rsidR="00EF05CE" w:rsidRPr="00EF05CE" w:rsidRDefault="00EF05CE" w:rsidP="00EF05CE">
      <w:pPr>
        <w:pStyle w:val="BodyText"/>
        <w:rPr>
          <w:b/>
        </w:rPr>
      </w:pPr>
    </w:p>
    <w:p w14:paraId="41BC9E8D" w14:textId="77777777" w:rsidR="00EF05CE" w:rsidRPr="00EF05CE" w:rsidRDefault="00EF05CE" w:rsidP="00EF05CE">
      <w:pPr>
        <w:pStyle w:val="BodyText"/>
        <w:rPr>
          <w:b/>
        </w:rPr>
      </w:pPr>
      <w:r w:rsidRPr="00EF05CE">
        <w:rPr>
          <w:b/>
        </w:rPr>
        <w:lastRenderedPageBreak/>
        <w:t>Οργανωτικά μέτρα για την πρόληψη της θερμικής καταπόνησης</w:t>
      </w:r>
    </w:p>
    <w:p w14:paraId="7C1B548C" w14:textId="77777777" w:rsidR="00EF05CE" w:rsidRPr="00EF05CE" w:rsidRDefault="00EF05CE" w:rsidP="0011676F">
      <w:pPr>
        <w:pStyle w:val="BodyText"/>
        <w:numPr>
          <w:ilvl w:val="0"/>
          <w:numId w:val="26"/>
        </w:numPr>
      </w:pPr>
      <w:r w:rsidRPr="00EF05CE">
        <w:t>Προγραμματισμός διαλλειμάτων κατάλληλης διάρκειας.</w:t>
      </w:r>
    </w:p>
    <w:p w14:paraId="3F876A15" w14:textId="77777777" w:rsidR="00EF05CE" w:rsidRPr="00EF05CE" w:rsidRDefault="00EF05CE" w:rsidP="0011676F">
      <w:pPr>
        <w:pStyle w:val="BodyText"/>
        <w:numPr>
          <w:ilvl w:val="0"/>
          <w:numId w:val="26"/>
        </w:numPr>
      </w:pPr>
      <w:r w:rsidRPr="00EF05CE">
        <w:t>Προγραμματισμός εργασιών που συνεπάγονται υψηλή θερμική καταπόνηση εκτός θερμοκρασιακών αιχμών.</w:t>
      </w:r>
    </w:p>
    <w:p w14:paraId="48FD7EC5" w14:textId="77777777" w:rsidR="00EF05CE" w:rsidRPr="00EF05CE" w:rsidRDefault="00EF05CE" w:rsidP="0011676F">
      <w:pPr>
        <w:pStyle w:val="BodyText"/>
        <w:numPr>
          <w:ilvl w:val="0"/>
          <w:numId w:val="26"/>
        </w:numPr>
      </w:pPr>
      <w:r w:rsidRPr="00EF05CE">
        <w:t>Μείωση της απασχόλησης ή παύση εργασιών μεταξύ των ωρών 12:00 – 16:00 σε ιδιαίτερα επιβαρυμένους θερμικά χώρους (μηχανοστάσια, χυτήρια, κεραμοποιεία, υαλουργεία κλπ).</w:t>
      </w:r>
    </w:p>
    <w:p w14:paraId="018D6985" w14:textId="3FF52EEC" w:rsidR="00A75D0A" w:rsidRPr="00EF05CE" w:rsidRDefault="00EF05CE" w:rsidP="00EF05CE">
      <w:pPr>
        <w:pStyle w:val="BodyText"/>
      </w:pPr>
      <w:r w:rsidRPr="00EF05CE">
        <w:t>Διαμόρφωση κλιματιζόμενων κυλικείων ή άλλων κατάλληλων χώρων για το χρόνο διαλλείματος των εργαζομένων.</w:t>
      </w:r>
    </w:p>
    <w:p w14:paraId="46802739" w14:textId="43D96464" w:rsidR="00AB7176" w:rsidRPr="00EF05CE" w:rsidRDefault="00AB7176" w:rsidP="00A75D0A">
      <w:r w:rsidRPr="00EF05CE">
        <w:br w:type="page"/>
      </w:r>
    </w:p>
    <w:p w14:paraId="43D20D5D" w14:textId="18C9102A" w:rsidR="002B1806" w:rsidRPr="00882320" w:rsidRDefault="002B1806" w:rsidP="00AB7176">
      <w:pPr>
        <w:pStyle w:val="Heading1"/>
        <w:numPr>
          <w:ilvl w:val="8"/>
          <w:numId w:val="9"/>
        </w:numPr>
        <w:shd w:val="clear" w:color="auto" w:fill="D9E2F3" w:themeFill="accent1" w:themeFillTint="33"/>
        <w:spacing w:before="240" w:line="288" w:lineRule="auto"/>
        <w:ind w:left="0" w:right="43" w:firstLine="0"/>
        <w:jc w:val="center"/>
      </w:pPr>
      <w:bookmarkStart w:id="21" w:name="_Toc97293135"/>
      <w:bookmarkStart w:id="22" w:name="_Toc139885152"/>
      <w:r w:rsidRPr="00882320">
        <w:lastRenderedPageBreak/>
        <w:t>ΘΕΜΑΤΑ ΕΠΙΧΕΙΡΗΜΑΤΙΚΩΝ ΠΑΡΚΩΝ (ΕΠ) / ΟΡΓΑΝΩΜΕΝΩΝ ΥΠΟΔΟΧΕΩΝ ΜΕΤΑΠΟΙΗΤΙΚΩΝ &amp; ΕΠΙΧΕΙΡΗΜΑΤΙΚΩΝ ΔΡΑΣΤΗΡΙΟΤΗΤΩΝ (ΟΥΜΕΔ)</w:t>
      </w:r>
      <w:bookmarkEnd w:id="21"/>
      <w:r w:rsidR="00C47BEC" w:rsidRPr="00882320">
        <w:t xml:space="preserve"> ΚΑΙ ΕΦΟΔΙΑΣΤΙΚΗΣ</w:t>
      </w:r>
      <w:bookmarkEnd w:id="22"/>
    </w:p>
    <w:p w14:paraId="6C578F96" w14:textId="77777777" w:rsidR="002B1806" w:rsidRPr="00882320" w:rsidRDefault="002B1806" w:rsidP="002B1806">
      <w:pPr>
        <w:pStyle w:val="110"/>
        <w:shd w:val="clear" w:color="auto" w:fill="FFFFFF" w:themeFill="background1"/>
        <w:tabs>
          <w:tab w:val="left" w:pos="284"/>
        </w:tabs>
        <w:spacing w:after="0" w:line="240" w:lineRule="auto"/>
        <w:ind w:left="284" w:right="266"/>
        <w:contextualSpacing w:val="0"/>
        <w:jc w:val="both"/>
        <w:rPr>
          <w:rFonts w:ascii="Times New Roman" w:hAnsi="Times New Roman"/>
          <w:b/>
          <w:i/>
          <w:iCs/>
          <w:sz w:val="4"/>
          <w:szCs w:val="4"/>
        </w:rPr>
      </w:pPr>
    </w:p>
    <w:p w14:paraId="23E35E70" w14:textId="5D0AA9C6" w:rsidR="007F001B" w:rsidRPr="00882320" w:rsidRDefault="007F001B" w:rsidP="00957288">
      <w:pPr>
        <w:pStyle w:val="Heading2"/>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23" w:name="_Toc119053815"/>
      <w:bookmarkStart w:id="24" w:name="_Toc139885153"/>
      <w:r w:rsidRPr="00882320">
        <w:rPr>
          <w:rFonts w:ascii="Times New Roman" w:hAnsi="Times New Roman" w:cs="Times New Roman"/>
          <w:b/>
          <w:bCs/>
          <w:color w:val="auto"/>
          <w:sz w:val="24"/>
          <w:szCs w:val="24"/>
        </w:rPr>
        <w:t xml:space="preserve">Α. </w:t>
      </w:r>
      <w:bookmarkEnd w:id="23"/>
      <w:r w:rsidR="00882320">
        <w:rPr>
          <w:rFonts w:ascii="Times New Roman" w:hAnsi="Times New Roman" w:cs="Times New Roman"/>
          <w:b/>
          <w:bCs/>
          <w:color w:val="auto"/>
          <w:sz w:val="24"/>
          <w:szCs w:val="24"/>
        </w:rPr>
        <w:t>Υπαγωγή ΒΙΠΕ του Ν.4458/1965 στις διατάξεις του Ν.4982/2022</w:t>
      </w:r>
      <w:bookmarkEnd w:id="24"/>
    </w:p>
    <w:p w14:paraId="390A0757" w14:textId="56D58588" w:rsidR="00367154" w:rsidRPr="00367154" w:rsidRDefault="00882320" w:rsidP="007115F4">
      <w:pPr>
        <w:pStyle w:val="BodyText"/>
      </w:pPr>
      <w:r>
        <w:t>Με την έκδοση του Ν.4982/2022, ο οποίος συνθέτει το νεότερο πλαίσιο σχετικά με τα Επιχειρηματικά Πάρκα, θεσπίστηκε η υπο</w:t>
      </w:r>
      <w:r w:rsidR="00F87F61">
        <w:t xml:space="preserve">χρέωση υπαγωγής όλων των Πάρκων των προηγούμενων πλαισίων (ΒΙΠΕ του Ν.4458/1965, </w:t>
      </w:r>
      <w:proofErr w:type="spellStart"/>
      <w:r w:rsidR="00F87F61">
        <w:t>ΒΕΠΕ</w:t>
      </w:r>
      <w:proofErr w:type="spellEnd"/>
      <w:r w:rsidR="00F87F61">
        <w:t xml:space="preserve"> του Ν.2545/1997 και Επιχειρηματικά Πάρκα του Ν.3982/2011) στις διατάξεις αυτού εντός 5 ετών. Ήδη από τις 19/5/2023 αποφασίστηκε η πρώτη υπαγωγή ΒΙΠΕ </w:t>
      </w:r>
      <w:r w:rsidR="00D1348B">
        <w:t xml:space="preserve">του Ν.4458/1965, </w:t>
      </w:r>
      <w:r w:rsidR="00F87F61">
        <w:t>και συγκεκριμένα της ΒΙΠΕ Θεσσαλονίκη</w:t>
      </w:r>
      <w:r w:rsidR="00D1348B">
        <w:t>ς,</w:t>
      </w:r>
      <w:r w:rsidR="00F87F61">
        <w:t xml:space="preserve"> στις διατάξεις του Ν.4982/2022</w:t>
      </w:r>
      <w:r w:rsidR="00D1348B">
        <w:t xml:space="preserve"> και η μετονομασία της σε Επιχειρηματικό Πάρκο Θεσσαλονίκης </w:t>
      </w:r>
      <w:r w:rsidR="0011676F">
        <w:t>(</w:t>
      </w:r>
      <w:r w:rsidR="00D1348B">
        <w:t>Τύπου Α1</w:t>
      </w:r>
      <w:r w:rsidR="0011676F">
        <w:t>)</w:t>
      </w:r>
      <w:r w:rsidR="00D1348B">
        <w:t xml:space="preserve">, με την υπ’ </w:t>
      </w:r>
      <w:proofErr w:type="spellStart"/>
      <w:r w:rsidR="00D1348B">
        <w:t>αριθμ</w:t>
      </w:r>
      <w:proofErr w:type="spellEnd"/>
      <w:r w:rsidR="00D1348B">
        <w:t>. 45622/2023 ΥΑ</w:t>
      </w:r>
      <w:r w:rsidR="00F87F61">
        <w:t xml:space="preserve"> (</w:t>
      </w:r>
      <w:r w:rsidR="00D1348B">
        <w:t>ΦΕΚ 3362/Β/2023</w:t>
      </w:r>
      <w:r w:rsidR="00F87F61">
        <w:t>)</w:t>
      </w:r>
      <w:r w:rsidR="00D1348B">
        <w:t xml:space="preserve">. </w:t>
      </w:r>
      <w:r w:rsidR="00367154">
        <w:t>Μέχρι σήμερα έχουν ακολουθήσει οι υπαγωγές στις διατ</w:t>
      </w:r>
      <w:r w:rsidR="00367154" w:rsidRPr="00367154">
        <w:t>άξεις του Ν.4982/2022 των κάτωθι:</w:t>
      </w:r>
    </w:p>
    <w:p w14:paraId="24D5B020" w14:textId="0F06C991" w:rsidR="007115F4" w:rsidRDefault="00367154" w:rsidP="0011676F">
      <w:pPr>
        <w:pStyle w:val="BodyText"/>
        <w:numPr>
          <w:ilvl w:val="0"/>
          <w:numId w:val="28"/>
        </w:numPr>
      </w:pPr>
      <w:r>
        <w:t xml:space="preserve">Η ΒΙΠΕ Πρέβεζας υπήχθη και μετονομάστηκε σε </w:t>
      </w:r>
      <w:r w:rsidRPr="00367154">
        <w:t xml:space="preserve">Επιχειρηματικό Πάρκο Πρέβεζας </w:t>
      </w:r>
      <w:r w:rsidR="0011676F">
        <w:t>(</w:t>
      </w:r>
      <w:r w:rsidRPr="00367154">
        <w:t>Τύπου Α1</w:t>
      </w:r>
      <w:r w:rsidR="0011676F">
        <w:t>)</w:t>
      </w:r>
      <w:r>
        <w:t xml:space="preserve"> με την υπ’ </w:t>
      </w:r>
      <w:proofErr w:type="spellStart"/>
      <w:r>
        <w:t>αριθμ</w:t>
      </w:r>
      <w:proofErr w:type="spellEnd"/>
      <w:r>
        <w:t xml:space="preserve">. 55744 ΥΑ (ΦΕΚ 3986/Β/2023) </w:t>
      </w:r>
    </w:p>
    <w:p w14:paraId="45FC06F5" w14:textId="7D04CA6A" w:rsidR="00367154" w:rsidRDefault="00367154" w:rsidP="0011676F">
      <w:pPr>
        <w:pStyle w:val="BodyText"/>
        <w:numPr>
          <w:ilvl w:val="0"/>
          <w:numId w:val="28"/>
        </w:numPr>
      </w:pPr>
      <w:r>
        <w:t xml:space="preserve">Η ΒΙΠΕ </w:t>
      </w:r>
      <w:r w:rsidR="0011676F">
        <w:t>Λαμίας</w:t>
      </w:r>
      <w:r>
        <w:t xml:space="preserve"> υπήχθη και μετονομάστηκε σε </w:t>
      </w:r>
      <w:r w:rsidRPr="00367154">
        <w:t xml:space="preserve">Επιχειρηματικό Πάρκο </w:t>
      </w:r>
      <w:r w:rsidR="0011676F">
        <w:t>Λαμίας</w:t>
      </w:r>
      <w:r w:rsidRPr="00367154">
        <w:t xml:space="preserve"> </w:t>
      </w:r>
      <w:r w:rsidR="0011676F">
        <w:t>(</w:t>
      </w:r>
      <w:r w:rsidRPr="00367154">
        <w:t>Τύπου Α1</w:t>
      </w:r>
      <w:r w:rsidR="0011676F">
        <w:t>)</w:t>
      </w:r>
      <w:r>
        <w:t xml:space="preserve"> με την υπ’ </w:t>
      </w:r>
      <w:proofErr w:type="spellStart"/>
      <w:r>
        <w:t>αριθμ</w:t>
      </w:r>
      <w:proofErr w:type="spellEnd"/>
      <w:r>
        <w:t xml:space="preserve">. </w:t>
      </w:r>
      <w:r w:rsidR="0011676F">
        <w:t>55692</w:t>
      </w:r>
      <w:r>
        <w:t xml:space="preserve"> ΥΑ (ΦΕΚ </w:t>
      </w:r>
      <w:r w:rsidR="0011676F">
        <w:t>4049</w:t>
      </w:r>
      <w:r>
        <w:t>/Β/2023)</w:t>
      </w:r>
    </w:p>
    <w:p w14:paraId="0D63A854" w14:textId="390274F5" w:rsidR="00367154" w:rsidRDefault="00367154" w:rsidP="0011676F">
      <w:pPr>
        <w:pStyle w:val="BodyText"/>
        <w:numPr>
          <w:ilvl w:val="0"/>
          <w:numId w:val="28"/>
        </w:numPr>
      </w:pPr>
      <w:r>
        <w:t xml:space="preserve">Η ΒΙΠΕ </w:t>
      </w:r>
      <w:r w:rsidR="006D0A85">
        <w:t>Καβάλας</w:t>
      </w:r>
      <w:r>
        <w:t xml:space="preserve"> υπήχθη και μετονομάστηκε σε </w:t>
      </w:r>
      <w:r w:rsidRPr="00367154">
        <w:t xml:space="preserve">Επιχειρηματικό Πάρκο </w:t>
      </w:r>
      <w:r w:rsidR="006D0A85">
        <w:t>Καβάλας</w:t>
      </w:r>
      <w:r w:rsidRPr="00367154">
        <w:t xml:space="preserve"> </w:t>
      </w:r>
      <w:r w:rsidR="006D0A85">
        <w:t>(</w:t>
      </w:r>
      <w:r w:rsidRPr="00367154">
        <w:t>Τύπου Α1</w:t>
      </w:r>
      <w:r w:rsidR="006D0A85">
        <w:t>)</w:t>
      </w:r>
      <w:r>
        <w:t xml:space="preserve"> με την υπ’ </w:t>
      </w:r>
      <w:proofErr w:type="spellStart"/>
      <w:r>
        <w:t>αριθμ</w:t>
      </w:r>
      <w:proofErr w:type="spellEnd"/>
      <w:r>
        <w:t xml:space="preserve">. </w:t>
      </w:r>
      <w:r w:rsidR="006D0A85">
        <w:t>55720</w:t>
      </w:r>
      <w:r>
        <w:t xml:space="preserve"> ΥΑ (ΦΕΚ </w:t>
      </w:r>
      <w:r w:rsidR="006D0A85">
        <w:t>4064</w:t>
      </w:r>
      <w:r>
        <w:t>/Β/2023)</w:t>
      </w:r>
    </w:p>
    <w:p w14:paraId="0D804857" w14:textId="39C7C954" w:rsidR="006D0A85" w:rsidRDefault="006D0A85" w:rsidP="006D0A85">
      <w:pPr>
        <w:pStyle w:val="BodyText"/>
        <w:numPr>
          <w:ilvl w:val="0"/>
          <w:numId w:val="28"/>
        </w:numPr>
      </w:pPr>
      <w:r>
        <w:t xml:space="preserve">Η ΒΙΠΕ Δράμας υπήχθη και μετονομάστηκε σε </w:t>
      </w:r>
      <w:r w:rsidRPr="00367154">
        <w:t xml:space="preserve">Επιχειρηματικό Πάρκο </w:t>
      </w:r>
      <w:r>
        <w:t>Δράμας</w:t>
      </w:r>
      <w:r w:rsidRPr="00367154">
        <w:t xml:space="preserve"> </w:t>
      </w:r>
      <w:r>
        <w:t>(</w:t>
      </w:r>
      <w:r w:rsidRPr="00367154">
        <w:t>Τύπου Α1</w:t>
      </w:r>
      <w:r>
        <w:t xml:space="preserve">) με την υπ’ </w:t>
      </w:r>
      <w:proofErr w:type="spellStart"/>
      <w:r>
        <w:t>αριθμ</w:t>
      </w:r>
      <w:proofErr w:type="spellEnd"/>
      <w:r>
        <w:t>. 55689 ΥΑ (ΦΕΚ 4065/Β/2023)</w:t>
      </w:r>
    </w:p>
    <w:p w14:paraId="0D63DB58" w14:textId="504BF352" w:rsidR="006D0A85" w:rsidRDefault="006D0A85" w:rsidP="006D0A85">
      <w:pPr>
        <w:pStyle w:val="BodyText"/>
        <w:numPr>
          <w:ilvl w:val="0"/>
          <w:numId w:val="28"/>
        </w:numPr>
      </w:pPr>
      <w:r>
        <w:t xml:space="preserve">Η ΒΙΠΕ </w:t>
      </w:r>
      <w:r w:rsidR="00FE0BEF">
        <w:t>Ηρακλείου</w:t>
      </w:r>
      <w:r>
        <w:t xml:space="preserve"> υπήχθη και μετονομάστηκε σε </w:t>
      </w:r>
      <w:r w:rsidRPr="00367154">
        <w:t xml:space="preserve">Επιχειρηματικό Πάρκο </w:t>
      </w:r>
      <w:r w:rsidR="00FE0BEF">
        <w:t>Ηρακλείου</w:t>
      </w:r>
      <w:r w:rsidRPr="00367154">
        <w:t xml:space="preserve"> </w:t>
      </w:r>
      <w:r>
        <w:t>(</w:t>
      </w:r>
      <w:r w:rsidRPr="00367154">
        <w:t>Τύπου Α1</w:t>
      </w:r>
      <w:r>
        <w:t xml:space="preserve">) με την υπ’ </w:t>
      </w:r>
      <w:proofErr w:type="spellStart"/>
      <w:r>
        <w:t>αριθμ</w:t>
      </w:r>
      <w:proofErr w:type="spellEnd"/>
      <w:r>
        <w:t xml:space="preserve">. </w:t>
      </w:r>
      <w:r w:rsidR="00FE0BEF">
        <w:t>55684</w:t>
      </w:r>
      <w:r>
        <w:t xml:space="preserve"> ΥΑ (ΦΕΚ </w:t>
      </w:r>
      <w:r w:rsidR="00FE0BEF">
        <w:t>4066</w:t>
      </w:r>
      <w:r>
        <w:t>/Β/2023)</w:t>
      </w:r>
    </w:p>
    <w:p w14:paraId="4AE2791D" w14:textId="0D1F5E65" w:rsidR="006D0A85" w:rsidRDefault="006D0A85" w:rsidP="006D0A85">
      <w:pPr>
        <w:pStyle w:val="BodyText"/>
        <w:numPr>
          <w:ilvl w:val="0"/>
          <w:numId w:val="28"/>
        </w:numPr>
      </w:pPr>
      <w:r>
        <w:t xml:space="preserve">Η ΒΙΠΕ </w:t>
      </w:r>
      <w:r w:rsidR="00FE0BEF">
        <w:t>Κομοτηνής</w:t>
      </w:r>
      <w:r>
        <w:t xml:space="preserve"> υπήχθη και μετονομάστηκε σε </w:t>
      </w:r>
      <w:r w:rsidRPr="00367154">
        <w:t xml:space="preserve">Επιχειρηματικό Πάρκο </w:t>
      </w:r>
      <w:r w:rsidR="00FE0BEF">
        <w:t>Κομοτηνής</w:t>
      </w:r>
      <w:r w:rsidRPr="00367154">
        <w:t xml:space="preserve"> </w:t>
      </w:r>
      <w:r>
        <w:t>(</w:t>
      </w:r>
      <w:r w:rsidRPr="00367154">
        <w:t>Τύπου Α1</w:t>
      </w:r>
      <w:r>
        <w:t xml:space="preserve">) με την υπ’ </w:t>
      </w:r>
      <w:proofErr w:type="spellStart"/>
      <w:r>
        <w:t>αριθμ</w:t>
      </w:r>
      <w:proofErr w:type="spellEnd"/>
      <w:r>
        <w:t xml:space="preserve">. </w:t>
      </w:r>
      <w:r w:rsidR="00FE0BEF">
        <w:t>55687</w:t>
      </w:r>
      <w:r>
        <w:t xml:space="preserve"> ΥΑ (ΦΕΚ </w:t>
      </w:r>
      <w:r w:rsidR="00FE0BEF">
        <w:t>4067</w:t>
      </w:r>
      <w:r>
        <w:t>/Β/2023)</w:t>
      </w:r>
    </w:p>
    <w:p w14:paraId="6D4D2593" w14:textId="09F66F32" w:rsidR="006D0A85" w:rsidRDefault="006D0A85" w:rsidP="006D0A85">
      <w:pPr>
        <w:pStyle w:val="BodyText"/>
        <w:numPr>
          <w:ilvl w:val="0"/>
          <w:numId w:val="28"/>
        </w:numPr>
      </w:pPr>
      <w:r>
        <w:t xml:space="preserve">Η ΒΙΠΕ </w:t>
      </w:r>
      <w:r w:rsidR="00B26D8B">
        <w:t>Λάρισας</w:t>
      </w:r>
      <w:r>
        <w:t xml:space="preserve"> υπήχθη και μετονομάστηκε σε </w:t>
      </w:r>
      <w:r w:rsidRPr="00367154">
        <w:t xml:space="preserve">Επιχειρηματικό Πάρκο </w:t>
      </w:r>
      <w:r w:rsidR="00B26D8B">
        <w:t>Λάρισας</w:t>
      </w:r>
      <w:r w:rsidRPr="00367154">
        <w:t xml:space="preserve"> </w:t>
      </w:r>
      <w:r>
        <w:t>(</w:t>
      </w:r>
      <w:r w:rsidRPr="00367154">
        <w:t>Τύπου Α1</w:t>
      </w:r>
      <w:r>
        <w:t xml:space="preserve">) με την υπ’ </w:t>
      </w:r>
      <w:proofErr w:type="spellStart"/>
      <w:r>
        <w:t>αριθμ</w:t>
      </w:r>
      <w:proofErr w:type="spellEnd"/>
      <w:r>
        <w:t xml:space="preserve">. </w:t>
      </w:r>
      <w:r w:rsidR="00B26D8B">
        <w:t>55691</w:t>
      </w:r>
      <w:r>
        <w:t xml:space="preserve"> ΥΑ (ΦΕΚ </w:t>
      </w:r>
      <w:r w:rsidR="00B26D8B">
        <w:t>4074</w:t>
      </w:r>
      <w:r>
        <w:t>/Β/2023)</w:t>
      </w:r>
    </w:p>
    <w:p w14:paraId="43A762A7" w14:textId="46B44DCC" w:rsidR="006D0A85" w:rsidRDefault="006D0A85" w:rsidP="006D0A85">
      <w:pPr>
        <w:pStyle w:val="BodyText"/>
        <w:numPr>
          <w:ilvl w:val="0"/>
          <w:numId w:val="28"/>
        </w:numPr>
      </w:pPr>
      <w:r>
        <w:t xml:space="preserve">Η ΒΙΠΕ </w:t>
      </w:r>
      <w:r w:rsidR="0008609B">
        <w:t>Πάτρας</w:t>
      </w:r>
      <w:r>
        <w:t xml:space="preserve"> υπήχθη και μετονομάστηκε σε </w:t>
      </w:r>
      <w:r w:rsidRPr="00367154">
        <w:t xml:space="preserve">Επιχειρηματικό Πάρκο </w:t>
      </w:r>
      <w:r w:rsidR="0008609B">
        <w:t>Πάτρας</w:t>
      </w:r>
      <w:r w:rsidRPr="00367154">
        <w:t xml:space="preserve"> </w:t>
      </w:r>
      <w:r>
        <w:t>(</w:t>
      </w:r>
      <w:r w:rsidRPr="00367154">
        <w:t>Τύπου Α1</w:t>
      </w:r>
      <w:r>
        <w:t xml:space="preserve">) με την υπ’ </w:t>
      </w:r>
      <w:proofErr w:type="spellStart"/>
      <w:r>
        <w:t>αριθμ</w:t>
      </w:r>
      <w:proofErr w:type="spellEnd"/>
      <w:r>
        <w:t xml:space="preserve">. </w:t>
      </w:r>
      <w:r w:rsidR="0008609B">
        <w:t>55711</w:t>
      </w:r>
      <w:r>
        <w:t xml:space="preserve"> ΥΑ (ΦΕΚ </w:t>
      </w:r>
      <w:r w:rsidR="0008609B">
        <w:t>4102</w:t>
      </w:r>
      <w:r>
        <w:t>/Β/2023)</w:t>
      </w:r>
    </w:p>
    <w:p w14:paraId="07806A07" w14:textId="22239169" w:rsidR="006D0A85" w:rsidRDefault="006D0A85" w:rsidP="006D0A85">
      <w:pPr>
        <w:pStyle w:val="BodyText"/>
        <w:numPr>
          <w:ilvl w:val="0"/>
          <w:numId w:val="28"/>
        </w:numPr>
      </w:pPr>
      <w:r>
        <w:t xml:space="preserve">Η ΒΙΠΕ </w:t>
      </w:r>
      <w:r w:rsidR="005F4D28">
        <w:t>Αλεξανδρούπολης</w:t>
      </w:r>
      <w:r>
        <w:t xml:space="preserve"> υπήχθη και μετονομάστηκε σε </w:t>
      </w:r>
      <w:r w:rsidRPr="00367154">
        <w:t xml:space="preserve">Επιχειρηματικό Πάρκο </w:t>
      </w:r>
      <w:r w:rsidR="005F4D28">
        <w:t>Αλεξανδρούπολης</w:t>
      </w:r>
      <w:r w:rsidRPr="00367154">
        <w:t xml:space="preserve"> </w:t>
      </w:r>
      <w:r>
        <w:t>(</w:t>
      </w:r>
      <w:r w:rsidRPr="00367154">
        <w:t>Τύπου Α1</w:t>
      </w:r>
      <w:r>
        <w:t xml:space="preserve">) με την υπ’ </w:t>
      </w:r>
      <w:proofErr w:type="spellStart"/>
      <w:r>
        <w:t>αριθμ</w:t>
      </w:r>
      <w:proofErr w:type="spellEnd"/>
      <w:r>
        <w:t xml:space="preserve">. </w:t>
      </w:r>
      <w:r w:rsidR="005F4D28">
        <w:t>57923</w:t>
      </w:r>
      <w:r>
        <w:t xml:space="preserve"> ΥΑ (ΦΕΚ </w:t>
      </w:r>
      <w:r w:rsidR="005F4D28">
        <w:t>4159</w:t>
      </w:r>
      <w:r>
        <w:t>/Β/2023)</w:t>
      </w:r>
    </w:p>
    <w:p w14:paraId="64703B59" w14:textId="776DEAB8" w:rsidR="006D0A85" w:rsidRDefault="006D0A85" w:rsidP="006D0A85">
      <w:pPr>
        <w:pStyle w:val="BodyText"/>
        <w:numPr>
          <w:ilvl w:val="0"/>
          <w:numId w:val="28"/>
        </w:numPr>
      </w:pPr>
      <w:r>
        <w:t xml:space="preserve">Η ΒΙΠΕ </w:t>
      </w:r>
      <w:r w:rsidR="005F4D28">
        <w:t>Καρδίτσας</w:t>
      </w:r>
      <w:r>
        <w:t xml:space="preserve"> υπήχθη και μετονομάστηκε σε </w:t>
      </w:r>
      <w:r w:rsidRPr="00367154">
        <w:t xml:space="preserve">Επιχειρηματικό Πάρκο </w:t>
      </w:r>
      <w:r w:rsidR="005F4D28">
        <w:t>Καρδίτσας</w:t>
      </w:r>
      <w:r w:rsidRPr="00367154">
        <w:t xml:space="preserve"> </w:t>
      </w:r>
      <w:r>
        <w:t>(</w:t>
      </w:r>
      <w:r w:rsidRPr="00367154">
        <w:t>Τύπου Α1</w:t>
      </w:r>
      <w:r>
        <w:t xml:space="preserve">) με την υπ’ </w:t>
      </w:r>
      <w:proofErr w:type="spellStart"/>
      <w:r>
        <w:t>αριθμ</w:t>
      </w:r>
      <w:proofErr w:type="spellEnd"/>
      <w:r>
        <w:t xml:space="preserve">. </w:t>
      </w:r>
      <w:r w:rsidR="005F4D28">
        <w:t>57962</w:t>
      </w:r>
      <w:r>
        <w:t xml:space="preserve"> ΥΑ (ΦΕΚ </w:t>
      </w:r>
      <w:r w:rsidR="005F4D28">
        <w:t>4161</w:t>
      </w:r>
      <w:r>
        <w:t>/Β/2023)</w:t>
      </w:r>
    </w:p>
    <w:p w14:paraId="3CCF4B0B" w14:textId="18D6F206" w:rsidR="004C61CD" w:rsidRDefault="00F71D96" w:rsidP="00081DC4">
      <w:pPr>
        <w:pStyle w:val="BodyText"/>
      </w:pPr>
      <w:r>
        <w:t>Για όλα τα ανωτέρω Επιχειρηματικά Πάρκα, ορίστηκε ως Εταιρεία Ανάπτυξης και Διαχείρισης (ΕΑΔΕΠ) η ΕΤΒΑ ΒΙ.ΠΕ. Α.Ε.</w:t>
      </w:r>
    </w:p>
    <w:p w14:paraId="4C71257A" w14:textId="75F40475" w:rsidR="00935EAE" w:rsidRPr="00882320" w:rsidRDefault="00935EAE" w:rsidP="00935EAE">
      <w:pPr>
        <w:pStyle w:val="Heading2"/>
        <w:shd w:val="clear" w:color="auto" w:fill="D9D9D9" w:themeFill="background1" w:themeFillShade="D9"/>
        <w:spacing w:before="0" w:after="240" w:line="288" w:lineRule="auto"/>
        <w:ind w:right="43"/>
        <w:jc w:val="center"/>
        <w:rPr>
          <w:rFonts w:ascii="Times New Roman" w:hAnsi="Times New Roman" w:cs="Times New Roman"/>
          <w:b/>
          <w:bCs/>
          <w:color w:val="auto"/>
          <w:sz w:val="24"/>
          <w:szCs w:val="24"/>
        </w:rPr>
      </w:pPr>
      <w:bookmarkStart w:id="25" w:name="_Toc139885154"/>
      <w:r>
        <w:rPr>
          <w:rFonts w:ascii="Times New Roman" w:hAnsi="Times New Roman" w:cs="Times New Roman"/>
          <w:b/>
          <w:bCs/>
          <w:color w:val="auto"/>
          <w:sz w:val="24"/>
          <w:szCs w:val="24"/>
        </w:rPr>
        <w:lastRenderedPageBreak/>
        <w:t>Β</w:t>
      </w:r>
      <w:r w:rsidRPr="00882320">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Διαβούλευση και ψήφιση των νέων Κανονισμών Λειτουργίας των </w:t>
      </w:r>
      <w:r w:rsidR="00145730">
        <w:rPr>
          <w:rFonts w:ascii="Times New Roman" w:hAnsi="Times New Roman" w:cs="Times New Roman"/>
          <w:b/>
          <w:bCs/>
          <w:color w:val="auto"/>
          <w:sz w:val="24"/>
          <w:szCs w:val="24"/>
        </w:rPr>
        <w:t>Πάρκων/</w:t>
      </w:r>
      <w:r>
        <w:rPr>
          <w:rFonts w:ascii="Times New Roman" w:hAnsi="Times New Roman" w:cs="Times New Roman"/>
          <w:b/>
          <w:bCs/>
          <w:color w:val="auto"/>
          <w:sz w:val="24"/>
          <w:szCs w:val="24"/>
        </w:rPr>
        <w:t>ΒΙΠΕ της ΕΤΒΑ ΒΙΠΕ ΑΕ</w:t>
      </w:r>
      <w:bookmarkEnd w:id="25"/>
    </w:p>
    <w:p w14:paraId="6977A030" w14:textId="4DC41A6A" w:rsidR="00935EAE" w:rsidRPr="00935EAE" w:rsidRDefault="00935EAE" w:rsidP="00935EAE">
      <w:pPr>
        <w:pStyle w:val="BodyText"/>
      </w:pPr>
      <w:r>
        <w:t xml:space="preserve">Σύμφωνα με την από 28/6/2023 ανακοίνωση της ΕΤΒΑ ΒΙΠΕ Α.Ε., η </w:t>
      </w:r>
      <w:r w:rsidRPr="00935EAE">
        <w:t xml:space="preserve">Πλατφόρμα Διαβούλευσης και Ψηφοφορίας </w:t>
      </w:r>
      <w:r>
        <w:t>για τους νέους Κανονισμούς Λειτουργίας των Πάρκων</w:t>
      </w:r>
      <w:r w:rsidR="00145730">
        <w:t>/</w:t>
      </w:r>
      <w:r>
        <w:t xml:space="preserve">ΒΙΠΕ που διαχειρίζεται η </w:t>
      </w:r>
      <w:r w:rsidR="00A243ED">
        <w:t>εταιρεία</w:t>
      </w:r>
      <w:r>
        <w:t xml:space="preserve"> </w:t>
      </w:r>
      <w:r w:rsidRPr="00935EAE">
        <w:t>είναι διαθέσιμη από την Τετάρτη 28/6/2023 στις 10.00 π.μ.</w:t>
      </w:r>
      <w:r>
        <w:t xml:space="preserve"> </w:t>
      </w:r>
      <w:r w:rsidRPr="00935EAE">
        <w:t>στον ιστότοπο της ΕΤΒΑ ΒΙ.ΠΕ. (www.etvavipe.gr)</w:t>
      </w:r>
      <w:r>
        <w:t xml:space="preserve">. Πρόσβαση στην πλατφόρμα και δικαίωμα συμμετοχής στη διαβούλευση και την ψηφοφορία </w:t>
      </w:r>
      <w:r w:rsidR="00A243ED">
        <w:t xml:space="preserve">του κάθε Πάρκου </w:t>
      </w:r>
      <w:r>
        <w:t xml:space="preserve">έχουν οι ενήμεροι ιδιοκτήτες γης </w:t>
      </w:r>
      <w:r w:rsidR="00A243ED">
        <w:t>εντός αυτού. Οι νέοι Κανονισμοί Λειτουργίας αφορούν τα ακόλουθα Πάρκα</w:t>
      </w:r>
      <w:r>
        <w:t xml:space="preserve">: </w:t>
      </w:r>
    </w:p>
    <w:p w14:paraId="0F233A65" w14:textId="77777777" w:rsidR="00935EAE" w:rsidRDefault="00935EAE" w:rsidP="00A243ED">
      <w:pPr>
        <w:pStyle w:val="BodyText"/>
        <w:numPr>
          <w:ilvl w:val="0"/>
          <w:numId w:val="36"/>
        </w:numPr>
      </w:pPr>
      <w:r>
        <w:t>Ε.Π. Αλεξανδρούπολης</w:t>
      </w:r>
    </w:p>
    <w:p w14:paraId="5583F32E" w14:textId="77777777" w:rsidR="00935EAE" w:rsidRDefault="00935EAE" w:rsidP="00A243ED">
      <w:pPr>
        <w:pStyle w:val="BodyText"/>
        <w:numPr>
          <w:ilvl w:val="0"/>
          <w:numId w:val="36"/>
        </w:numPr>
      </w:pPr>
      <w:proofErr w:type="spellStart"/>
      <w:r>
        <w:t>ΒΙΟ.ΠΑ</w:t>
      </w:r>
      <w:proofErr w:type="spellEnd"/>
      <w:r>
        <w:t>. Άμφισσας</w:t>
      </w:r>
    </w:p>
    <w:p w14:paraId="42151848" w14:textId="77777777" w:rsidR="00935EAE" w:rsidRDefault="00935EAE" w:rsidP="00A243ED">
      <w:pPr>
        <w:pStyle w:val="BodyText"/>
        <w:numPr>
          <w:ilvl w:val="0"/>
          <w:numId w:val="36"/>
        </w:numPr>
      </w:pPr>
      <w:proofErr w:type="spellStart"/>
      <w:r>
        <w:t>ΒΙΟ.ΠΑ</w:t>
      </w:r>
      <w:proofErr w:type="spellEnd"/>
      <w:r>
        <w:t>. Βόλου</w:t>
      </w:r>
    </w:p>
    <w:p w14:paraId="3E516390" w14:textId="77777777" w:rsidR="00935EAE" w:rsidRDefault="00935EAE" w:rsidP="00A243ED">
      <w:pPr>
        <w:pStyle w:val="BodyText"/>
        <w:numPr>
          <w:ilvl w:val="0"/>
          <w:numId w:val="36"/>
        </w:numPr>
      </w:pPr>
      <w:r>
        <w:t>ΒΙ.ΠΕ. Βόλου Β'</w:t>
      </w:r>
    </w:p>
    <w:p w14:paraId="53656A3F" w14:textId="77777777" w:rsidR="00935EAE" w:rsidRDefault="00935EAE" w:rsidP="00A243ED">
      <w:pPr>
        <w:pStyle w:val="BodyText"/>
        <w:numPr>
          <w:ilvl w:val="0"/>
          <w:numId w:val="36"/>
        </w:numPr>
      </w:pPr>
      <w:r>
        <w:t>Ε.Π. Δράμας</w:t>
      </w:r>
    </w:p>
    <w:p w14:paraId="74A9D20B" w14:textId="77777777" w:rsidR="00935EAE" w:rsidRDefault="00935EAE" w:rsidP="00A243ED">
      <w:pPr>
        <w:pStyle w:val="BodyText"/>
        <w:numPr>
          <w:ilvl w:val="0"/>
          <w:numId w:val="36"/>
        </w:numPr>
      </w:pPr>
      <w:r>
        <w:t>ΒΙ.ΠΕ. Έδεσσας</w:t>
      </w:r>
    </w:p>
    <w:p w14:paraId="31EBE410" w14:textId="77777777" w:rsidR="00935EAE" w:rsidRDefault="00935EAE" w:rsidP="00A243ED">
      <w:pPr>
        <w:pStyle w:val="BodyText"/>
        <w:numPr>
          <w:ilvl w:val="0"/>
          <w:numId w:val="36"/>
        </w:numPr>
      </w:pPr>
      <w:r>
        <w:t>Ε.Π. Ηρακλείου</w:t>
      </w:r>
    </w:p>
    <w:p w14:paraId="4198FB3A" w14:textId="77777777" w:rsidR="00935EAE" w:rsidRDefault="00935EAE" w:rsidP="00A243ED">
      <w:pPr>
        <w:pStyle w:val="BodyText"/>
        <w:numPr>
          <w:ilvl w:val="0"/>
          <w:numId w:val="36"/>
        </w:numPr>
      </w:pPr>
      <w:r>
        <w:t>Ε.Π. Θεσσαλονίκης</w:t>
      </w:r>
    </w:p>
    <w:p w14:paraId="24EAA981" w14:textId="77777777" w:rsidR="00935EAE" w:rsidRDefault="00935EAE" w:rsidP="00A243ED">
      <w:pPr>
        <w:pStyle w:val="BodyText"/>
        <w:numPr>
          <w:ilvl w:val="0"/>
          <w:numId w:val="36"/>
        </w:numPr>
      </w:pPr>
      <w:r>
        <w:t>ΒΙ.ΠΕ. Ιωαννίνων</w:t>
      </w:r>
    </w:p>
    <w:p w14:paraId="59756DA3" w14:textId="77777777" w:rsidR="00935EAE" w:rsidRDefault="00935EAE" w:rsidP="00A243ED">
      <w:pPr>
        <w:pStyle w:val="BodyText"/>
        <w:numPr>
          <w:ilvl w:val="0"/>
          <w:numId w:val="36"/>
        </w:numPr>
      </w:pPr>
      <w:r>
        <w:t>Ε.Π. Καβάλας</w:t>
      </w:r>
    </w:p>
    <w:p w14:paraId="08FBF3C4" w14:textId="77777777" w:rsidR="00935EAE" w:rsidRDefault="00935EAE" w:rsidP="00A243ED">
      <w:pPr>
        <w:pStyle w:val="BodyText"/>
        <w:numPr>
          <w:ilvl w:val="0"/>
          <w:numId w:val="36"/>
        </w:numPr>
      </w:pPr>
      <w:r>
        <w:t>ΒΙ.ΠΕ. Καλαμάτας Α' (</w:t>
      </w:r>
      <w:proofErr w:type="spellStart"/>
      <w:r>
        <w:t>Σπερχόγεια</w:t>
      </w:r>
      <w:proofErr w:type="spellEnd"/>
      <w:r>
        <w:t>)</w:t>
      </w:r>
    </w:p>
    <w:p w14:paraId="44C348BF" w14:textId="77777777" w:rsidR="00935EAE" w:rsidRDefault="00935EAE" w:rsidP="00A243ED">
      <w:pPr>
        <w:pStyle w:val="BodyText"/>
        <w:numPr>
          <w:ilvl w:val="0"/>
          <w:numId w:val="36"/>
        </w:numPr>
      </w:pPr>
      <w:r>
        <w:t>ΒΙ.ΠΕ. Καλαμάτας Β' (</w:t>
      </w:r>
      <w:proofErr w:type="spellStart"/>
      <w:r>
        <w:t>Μελιγαλάς</w:t>
      </w:r>
      <w:proofErr w:type="spellEnd"/>
      <w:r>
        <w:t>)</w:t>
      </w:r>
    </w:p>
    <w:p w14:paraId="12CA971D" w14:textId="77777777" w:rsidR="00935EAE" w:rsidRDefault="00935EAE" w:rsidP="00A243ED">
      <w:pPr>
        <w:pStyle w:val="BodyText"/>
        <w:numPr>
          <w:ilvl w:val="0"/>
          <w:numId w:val="36"/>
        </w:numPr>
      </w:pPr>
      <w:r>
        <w:t>Ε.Π. Καρδίτσας</w:t>
      </w:r>
    </w:p>
    <w:p w14:paraId="0113F135" w14:textId="77777777" w:rsidR="00935EAE" w:rsidRDefault="00935EAE" w:rsidP="00A243ED">
      <w:pPr>
        <w:pStyle w:val="BodyText"/>
        <w:numPr>
          <w:ilvl w:val="0"/>
          <w:numId w:val="36"/>
        </w:numPr>
      </w:pPr>
      <w:r>
        <w:t>Ε.Π. Κομοτηνής</w:t>
      </w:r>
    </w:p>
    <w:p w14:paraId="75191E2C" w14:textId="77777777" w:rsidR="00935EAE" w:rsidRDefault="00935EAE" w:rsidP="00A243ED">
      <w:pPr>
        <w:pStyle w:val="BodyText"/>
        <w:numPr>
          <w:ilvl w:val="0"/>
          <w:numId w:val="36"/>
        </w:numPr>
      </w:pPr>
      <w:r>
        <w:t>Ε.Π. Λαμίας</w:t>
      </w:r>
    </w:p>
    <w:p w14:paraId="5FA7665C" w14:textId="77777777" w:rsidR="00935EAE" w:rsidRDefault="00935EAE" w:rsidP="00A243ED">
      <w:pPr>
        <w:pStyle w:val="BodyText"/>
        <w:numPr>
          <w:ilvl w:val="0"/>
          <w:numId w:val="36"/>
        </w:numPr>
      </w:pPr>
      <w:r>
        <w:t>Ε.Π. Λάρισας</w:t>
      </w:r>
    </w:p>
    <w:p w14:paraId="340EBDDA" w14:textId="77777777" w:rsidR="00935EAE" w:rsidRDefault="00935EAE" w:rsidP="00A243ED">
      <w:pPr>
        <w:pStyle w:val="BodyText"/>
        <w:numPr>
          <w:ilvl w:val="0"/>
          <w:numId w:val="36"/>
        </w:numPr>
      </w:pPr>
      <w:r>
        <w:t>ΒΙ.ΠΕ. Ξάνθης</w:t>
      </w:r>
    </w:p>
    <w:p w14:paraId="34961349" w14:textId="77777777" w:rsidR="00935EAE" w:rsidRDefault="00935EAE" w:rsidP="00A243ED">
      <w:pPr>
        <w:pStyle w:val="BodyText"/>
        <w:numPr>
          <w:ilvl w:val="0"/>
          <w:numId w:val="36"/>
        </w:numPr>
      </w:pPr>
      <w:r>
        <w:t>ΒΙ.ΠΕ. Ορεστιάδας</w:t>
      </w:r>
    </w:p>
    <w:p w14:paraId="7C6EAF1B" w14:textId="77777777" w:rsidR="00935EAE" w:rsidRDefault="00935EAE" w:rsidP="00A243ED">
      <w:pPr>
        <w:pStyle w:val="BodyText"/>
        <w:numPr>
          <w:ilvl w:val="0"/>
          <w:numId w:val="36"/>
        </w:numPr>
      </w:pPr>
      <w:r>
        <w:t>Ε.Π. Πατρών</w:t>
      </w:r>
    </w:p>
    <w:p w14:paraId="3D40ABF9" w14:textId="77777777" w:rsidR="00935EAE" w:rsidRDefault="00935EAE" w:rsidP="00A243ED">
      <w:pPr>
        <w:pStyle w:val="BodyText"/>
        <w:numPr>
          <w:ilvl w:val="0"/>
          <w:numId w:val="36"/>
        </w:numPr>
      </w:pPr>
      <w:r>
        <w:t>Ε.Π. Πρέβεζας</w:t>
      </w:r>
    </w:p>
    <w:p w14:paraId="75125163" w14:textId="77777777" w:rsidR="00935EAE" w:rsidRDefault="00935EAE" w:rsidP="00A243ED">
      <w:pPr>
        <w:pStyle w:val="BodyText"/>
        <w:numPr>
          <w:ilvl w:val="0"/>
          <w:numId w:val="36"/>
        </w:numPr>
      </w:pPr>
      <w:proofErr w:type="spellStart"/>
      <w:r>
        <w:t>ΒΙΟ.ΠΑ</w:t>
      </w:r>
      <w:proofErr w:type="spellEnd"/>
      <w:r>
        <w:t xml:space="preserve">. </w:t>
      </w:r>
      <w:proofErr w:type="spellStart"/>
      <w:r>
        <w:t>Σαπών</w:t>
      </w:r>
      <w:proofErr w:type="spellEnd"/>
    </w:p>
    <w:p w14:paraId="5AC92C50" w14:textId="77777777" w:rsidR="00935EAE" w:rsidRDefault="00935EAE" w:rsidP="00A243ED">
      <w:pPr>
        <w:pStyle w:val="BodyText"/>
        <w:numPr>
          <w:ilvl w:val="0"/>
          <w:numId w:val="36"/>
        </w:numPr>
      </w:pPr>
      <w:r>
        <w:t>ΒΙ.ΠΕ. Σερρών</w:t>
      </w:r>
    </w:p>
    <w:p w14:paraId="72B5E1E2" w14:textId="77777777" w:rsidR="00935EAE" w:rsidRDefault="00935EAE" w:rsidP="00A243ED">
      <w:pPr>
        <w:pStyle w:val="BodyText"/>
        <w:numPr>
          <w:ilvl w:val="0"/>
          <w:numId w:val="36"/>
        </w:numPr>
      </w:pPr>
      <w:r>
        <w:lastRenderedPageBreak/>
        <w:t>ΒΙ.ΠΕ. Τρίπολης</w:t>
      </w:r>
    </w:p>
    <w:p w14:paraId="574015B3" w14:textId="46A79FB9" w:rsidR="00935EAE" w:rsidRDefault="00935EAE" w:rsidP="00A243ED">
      <w:pPr>
        <w:pStyle w:val="BodyText"/>
        <w:numPr>
          <w:ilvl w:val="0"/>
          <w:numId w:val="36"/>
        </w:numPr>
      </w:pPr>
      <w:r>
        <w:t>ΒΙ.ΠΕ. Φλώρινας</w:t>
      </w:r>
    </w:p>
    <w:p w14:paraId="04459918" w14:textId="4FF424F1" w:rsidR="00A243ED" w:rsidRPr="00A243ED" w:rsidRDefault="00A243ED" w:rsidP="00A243ED">
      <w:pPr>
        <w:pStyle w:val="BodyText"/>
        <w:rPr>
          <w:b/>
          <w:bCs w:val="0"/>
        </w:rPr>
      </w:pPr>
      <w:r w:rsidRPr="00A243ED">
        <w:rPr>
          <w:b/>
          <w:bCs w:val="0"/>
        </w:rPr>
        <w:t xml:space="preserve">Η διαδικασία της Διαβούλευσης λήγει στις 16/7/2023, ενώ εντός πέντε </w:t>
      </w:r>
      <w:r w:rsidRPr="00A243ED">
        <w:rPr>
          <w:b/>
          <w:bCs w:val="0"/>
        </w:rPr>
        <w:t>(5)</w:t>
      </w:r>
      <w:r>
        <w:rPr>
          <w:b/>
          <w:bCs w:val="0"/>
        </w:rPr>
        <w:t xml:space="preserve"> </w:t>
      </w:r>
      <w:r w:rsidRPr="00A243ED">
        <w:rPr>
          <w:b/>
          <w:bCs w:val="0"/>
        </w:rPr>
        <w:t xml:space="preserve">ημερών από τη λήξη θα διεξαχθεί </w:t>
      </w:r>
      <w:r w:rsidRPr="00A243ED">
        <w:rPr>
          <w:b/>
          <w:bCs w:val="0"/>
        </w:rPr>
        <w:t>ψηφοφορία, κατά την οποία η ΕΤΒΑ ΒΙ.ΠΕ. και οι κατά το</w:t>
      </w:r>
      <w:r w:rsidRPr="00A243ED">
        <w:rPr>
          <w:b/>
          <w:bCs w:val="0"/>
        </w:rPr>
        <w:t>ν</w:t>
      </w:r>
      <w:r w:rsidRPr="00A243ED">
        <w:rPr>
          <w:b/>
          <w:bCs w:val="0"/>
        </w:rPr>
        <w:t xml:space="preserve"> χρόνο έναρξης της Διαβούλευσης Ενήμεροι Ιδιοκτήτες Γης (κατά την έννοια του άρθρου 23 παρ. 6 του ν. 4982/2022) μπορούν να δηλώσουν εάν αποδέχονται ή όχι τις προτεινόμενες τροποποιήσεις του Κανονισμού Λειτουργίας</w:t>
      </w:r>
      <w:r w:rsidRPr="00A243ED">
        <w:rPr>
          <w:b/>
          <w:bCs w:val="0"/>
        </w:rPr>
        <w:t>.</w:t>
      </w:r>
    </w:p>
    <w:sectPr w:rsidR="00A243ED" w:rsidRPr="00A243ED" w:rsidSect="007A2688">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111" w14:textId="77777777" w:rsidR="00C24E3E" w:rsidRPr="006F6193" w:rsidRDefault="00C24E3E" w:rsidP="00C24E3E">
    <w:pPr>
      <w:pBdr>
        <w:top w:val="single" w:sz="4" w:space="1" w:color="auto"/>
      </w:pBd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i/>
        <w:iCs/>
        <w:color w:val="333333"/>
        <w:sz w:val="20"/>
        <w:szCs w:val="20"/>
      </w:rPr>
      <w:tab/>
    </w: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 xml:space="preserve">Ακαδημίας  6, 10671 Αθήνα,  </w:t>
    </w:r>
  </w:p>
  <w:p w14:paraId="60B3CB56" w14:textId="77777777" w:rsidR="00C24E3E" w:rsidRPr="006F6193" w:rsidRDefault="00C24E3E" w:rsidP="00C24E3E">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w:t>
    </w:r>
    <w:r w:rsidRPr="00C95A90">
      <w:rPr>
        <w:rFonts w:ascii="Times New Roman" w:eastAsia="Times New Roman" w:hAnsi="Times New Roman" w:cs="Times New Roman"/>
        <w:b/>
        <w:bCs/>
        <w:color w:val="333333"/>
        <w:sz w:val="20"/>
        <w:szCs w:val="20"/>
      </w:rPr>
      <w:fldChar w:fldCharType="end"/>
    </w:r>
  </w:p>
  <w:p w14:paraId="6C8C8AFE" w14:textId="77777777" w:rsidR="00C24E3E" w:rsidRDefault="00C24E3E" w:rsidP="00C24E3E">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145730">
      <w:fldChar w:fldCharType="begin"/>
    </w:r>
    <w:r w:rsidR="00145730" w:rsidRPr="00935EAE">
      <w:rPr>
        <w:lang w:val="en-US"/>
      </w:rPr>
      <w:instrText>HYPERLINK "http://www.uhc.gr"</w:instrText>
    </w:r>
    <w:r w:rsidR="00145730">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145730">
      <w:rPr>
        <w:rFonts w:ascii="Times New Roman" w:eastAsia="Times New Roman" w:hAnsi="Times New Roman" w:cs="Times New Roman"/>
        <w:b/>
        <w:bCs/>
        <w:color w:val="0000FF"/>
        <w:sz w:val="20"/>
        <w:szCs w:val="20"/>
        <w:u w:val="single"/>
        <w:lang w:val="de-DE"/>
      </w:rPr>
      <w:fldChar w:fldCharType="end"/>
    </w:r>
  </w:p>
  <w:p w14:paraId="3784F2D3" w14:textId="3CBEEB46" w:rsidR="00502C43" w:rsidRPr="00C24E3E" w:rsidRDefault="00502C43" w:rsidP="00C24E3E">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3421" w14:textId="20C448BF" w:rsidR="00C24E3E" w:rsidRPr="006F6193" w:rsidRDefault="00C24E3E" w:rsidP="00C24E3E">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Δ/</w:t>
    </w:r>
    <w:proofErr w:type="spellStart"/>
    <w:r w:rsidRPr="006F6193">
      <w:rPr>
        <w:rFonts w:ascii="Times New Roman" w:eastAsia="Times New Roman" w:hAnsi="Times New Roman" w:cs="Times New Roman"/>
        <w:b/>
        <w:bCs/>
        <w:i/>
        <w:iCs/>
        <w:color w:val="333333"/>
        <w:sz w:val="20"/>
        <w:szCs w:val="20"/>
      </w:rPr>
      <w:t>νση</w:t>
    </w:r>
    <w:proofErr w:type="spellEnd"/>
    <w:r w:rsidRPr="006F6193">
      <w:rPr>
        <w:rFonts w:ascii="Times New Roman" w:eastAsia="Times New Roman" w:hAnsi="Times New Roman" w:cs="Times New Roman"/>
        <w:b/>
        <w:bCs/>
        <w:i/>
        <w:iCs/>
        <w:color w:val="333333"/>
        <w:sz w:val="20"/>
        <w:szCs w:val="20"/>
      </w:rPr>
      <w:t xml:space="preserve">: </w:t>
    </w:r>
    <w:r w:rsidRPr="006F6193">
      <w:rPr>
        <w:rFonts w:ascii="Times New Roman" w:eastAsia="Times New Roman" w:hAnsi="Times New Roman" w:cs="Times New Roman"/>
        <w:b/>
        <w:bCs/>
        <w:color w:val="333333"/>
        <w:sz w:val="20"/>
        <w:szCs w:val="20"/>
      </w:rPr>
      <w:t>Ακαδημίας  6, 10671 Αθήνα,</w:t>
    </w:r>
  </w:p>
  <w:p w14:paraId="7CEC924D" w14:textId="2527808F" w:rsidR="00C24E3E" w:rsidRPr="006F6193"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p>
  <w:p w14:paraId="1AB59CA5" w14:textId="777BB820" w:rsidR="00C24E3E" w:rsidRPr="004375F2" w:rsidRDefault="00C24E3E" w:rsidP="00C24E3E">
    <w:pPr>
      <w:tabs>
        <w:tab w:val="center" w:pos="4153"/>
        <w:tab w:val="right" w:pos="8306"/>
      </w:tabs>
      <w:spacing w:after="0" w:line="240" w:lineRule="auto"/>
      <w:jc w:val="center"/>
      <w:rPr>
        <w:rFonts w:ascii="Times New Roman" w:eastAsia="Times New Roman" w:hAnsi="Times New Roman" w:cs="Times New Roman"/>
        <w:b/>
        <w:bCs/>
        <w:color w:val="333333"/>
        <w:szCs w:val="24"/>
        <w:lang w:val="en-US"/>
      </w:rPr>
    </w:pP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proofErr w:type="spellStart"/>
    <w:r w:rsidRPr="006F6193">
      <w:rPr>
        <w:rFonts w:ascii="Times New Roman" w:eastAsia="Times New Roman" w:hAnsi="Times New Roman" w:cs="Times New Roman"/>
        <w:b/>
        <w:bCs/>
        <w:sz w:val="20"/>
        <w:szCs w:val="20"/>
        <w:lang w:val="de-DE"/>
      </w:rPr>
      <w:t>keeuhcci</w:t>
    </w:r>
    <w:proofErr w:type="spellEnd"/>
    <w:r w:rsidRPr="006F6193">
      <w:rPr>
        <w:rFonts w:ascii="Times New Roman" w:eastAsia="Times New Roman" w:hAnsi="Times New Roman" w:cs="Times New Roman"/>
        <w:b/>
        <w:bCs/>
        <w:sz w:val="20"/>
        <w:szCs w:val="20"/>
        <w:lang w:val="en-US"/>
      </w:rPr>
      <w:t>@uhc.</w:t>
    </w:r>
    <w:proofErr w:type="spellStart"/>
    <w:r w:rsidRPr="006F6193">
      <w:rPr>
        <w:rFonts w:ascii="Times New Roman" w:eastAsia="Times New Roman" w:hAnsi="Times New Roman" w:cs="Times New Roman"/>
        <w:b/>
        <w:bCs/>
        <w:sz w:val="20"/>
        <w:szCs w:val="20"/>
        <w:lang w:val="de-DE"/>
      </w:rPr>
      <w:t>gr</w:t>
    </w:r>
    <w:proofErr w:type="spellEnd"/>
    <w:r w:rsidRPr="006F6193">
      <w:rPr>
        <w:rFonts w:ascii="Times New Roman" w:eastAsia="Times New Roman" w:hAnsi="Times New Roman" w:cs="Times New Roman"/>
        <w:b/>
        <w:bCs/>
        <w:sz w:val="20"/>
        <w:szCs w:val="20"/>
        <w:lang w:val="en-US"/>
      </w:rPr>
      <w:t xml:space="preserve">, </w:t>
    </w:r>
    <w:r w:rsidR="00145730">
      <w:fldChar w:fldCharType="begin"/>
    </w:r>
    <w:r w:rsidR="00145730" w:rsidRPr="00935EAE">
      <w:rPr>
        <w:lang w:val="en-US"/>
      </w:rPr>
      <w:instrText>HYPERLINK "http://www.uhc.gr"</w:instrText>
    </w:r>
    <w:r w:rsidR="00145730">
      <w:fldChar w:fldCharType="separate"/>
    </w:r>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proofErr w:type="spellStart"/>
    <w:r w:rsidRPr="006F6193">
      <w:rPr>
        <w:rFonts w:ascii="Times New Roman" w:eastAsia="Times New Roman" w:hAnsi="Times New Roman" w:cs="Times New Roman"/>
        <w:b/>
        <w:bCs/>
        <w:color w:val="0000FF"/>
        <w:sz w:val="20"/>
        <w:szCs w:val="20"/>
        <w:u w:val="single"/>
        <w:lang w:val="de-DE"/>
      </w:rPr>
      <w:t>gr</w:t>
    </w:r>
    <w:proofErr w:type="spellEnd"/>
    <w:r w:rsidR="00145730">
      <w:rPr>
        <w:rFonts w:ascii="Times New Roman" w:eastAsia="Times New Roman" w:hAnsi="Times New Roman" w:cs="Times New Roman"/>
        <w:b/>
        <w:bCs/>
        <w:color w:val="0000FF"/>
        <w:sz w:val="20"/>
        <w:szCs w:val="20"/>
        <w:u w:val="single"/>
        <w:lang w:val="de-DE"/>
      </w:rPr>
      <w:fldChar w:fldCharType="end"/>
    </w:r>
  </w:p>
  <w:p w14:paraId="6184BFCC" w14:textId="77777777" w:rsidR="00C24E3E" w:rsidRPr="00C24E3E" w:rsidRDefault="00C24E3E" w:rsidP="00C24E3E">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B5B6" w14:textId="7CA2D686" w:rsidR="00863901" w:rsidRPr="005A3BFB" w:rsidRDefault="00863901" w:rsidP="007A2688">
    <w:pPr>
      <w:pStyle w:val="Header"/>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B25" w14:textId="77777777" w:rsidR="007A2688" w:rsidRPr="005A3BFB" w:rsidRDefault="007A2688" w:rsidP="007A2688">
    <w:pPr>
      <w:pStyle w:val="Header"/>
      <w:pBdr>
        <w:bottom w:val="single" w:sz="4" w:space="1" w:color="auto"/>
      </w:pBdr>
      <w:ind w:right="88"/>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41DD8"/>
    <w:lvl w:ilvl="0">
      <w:start w:val="1"/>
      <w:numFmt w:val="bullet"/>
      <w:pStyle w:val="ListBullet"/>
      <w:lvlText w:val=""/>
      <w:lvlJc w:val="left"/>
      <w:pPr>
        <w:tabs>
          <w:tab w:val="num" w:pos="349"/>
        </w:tabs>
        <w:ind w:left="349" w:hanging="360"/>
      </w:pPr>
      <w:rPr>
        <w:rFonts w:ascii="Symbol" w:hAnsi="Symbol" w:hint="default"/>
      </w:rPr>
    </w:lvl>
  </w:abstractNum>
  <w:abstractNum w:abstractNumId="1" w15:restartNumberingAfterBreak="0">
    <w:nsid w:val="0282535D"/>
    <w:multiLevelType w:val="hybridMultilevel"/>
    <w:tmpl w:val="B3881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80555C"/>
    <w:multiLevelType w:val="hybridMultilevel"/>
    <w:tmpl w:val="F7D89A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71A12F7"/>
    <w:multiLevelType w:val="multilevel"/>
    <w:tmpl w:val="635C387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5"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6E7865"/>
    <w:multiLevelType w:val="hybridMultilevel"/>
    <w:tmpl w:val="D556D0F4"/>
    <w:lvl w:ilvl="0" w:tplc="2822FA4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2D617B"/>
    <w:multiLevelType w:val="hybridMultilevel"/>
    <w:tmpl w:val="C66C92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0" w15:restartNumberingAfterBreak="0">
    <w:nsid w:val="278F4159"/>
    <w:multiLevelType w:val="hybridMultilevel"/>
    <w:tmpl w:val="483EE4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C957D4"/>
    <w:multiLevelType w:val="multilevel"/>
    <w:tmpl w:val="35B26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B773238"/>
    <w:multiLevelType w:val="hybridMultilevel"/>
    <w:tmpl w:val="7048197C"/>
    <w:lvl w:ilvl="0" w:tplc="0408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B7A240B"/>
    <w:multiLevelType w:val="hybridMultilevel"/>
    <w:tmpl w:val="F036D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216808"/>
    <w:multiLevelType w:val="multilevel"/>
    <w:tmpl w:val="9CAC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30310EAE"/>
    <w:multiLevelType w:val="hybridMultilevel"/>
    <w:tmpl w:val="BF92F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9D4593"/>
    <w:multiLevelType w:val="hybridMultilevel"/>
    <w:tmpl w:val="A4DC07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A88289D"/>
    <w:multiLevelType w:val="hybridMultilevel"/>
    <w:tmpl w:val="527C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B9156F9"/>
    <w:multiLevelType w:val="multilevel"/>
    <w:tmpl w:val="9A0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34430"/>
    <w:multiLevelType w:val="hybridMultilevel"/>
    <w:tmpl w:val="3020AD94"/>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abstractNum w:abstractNumId="21" w15:restartNumberingAfterBreak="0">
    <w:nsid w:val="402A5703"/>
    <w:multiLevelType w:val="multilevel"/>
    <w:tmpl w:val="CBE8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EA3867"/>
    <w:multiLevelType w:val="multilevel"/>
    <w:tmpl w:val="EF32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6054B2"/>
    <w:multiLevelType w:val="hybridMultilevel"/>
    <w:tmpl w:val="F0EE8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26" w15:restartNumberingAfterBreak="0">
    <w:nsid w:val="4D9B7324"/>
    <w:multiLevelType w:val="hybridMultilevel"/>
    <w:tmpl w:val="B91AD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CF1D25"/>
    <w:multiLevelType w:val="hybridMultilevel"/>
    <w:tmpl w:val="9E861164"/>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abstractNum w:abstractNumId="30" w15:restartNumberingAfterBreak="0">
    <w:nsid w:val="69C20E03"/>
    <w:multiLevelType w:val="hybridMultilevel"/>
    <w:tmpl w:val="55AC1F2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6FA85E2F"/>
    <w:multiLevelType w:val="hybridMultilevel"/>
    <w:tmpl w:val="D13C7BB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15:restartNumberingAfterBreak="0">
    <w:nsid w:val="70E83844"/>
    <w:multiLevelType w:val="multilevel"/>
    <w:tmpl w:val="8266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9A14DD"/>
    <w:multiLevelType w:val="multilevel"/>
    <w:tmpl w:val="1D8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80DA7"/>
    <w:multiLevelType w:val="hybridMultilevel"/>
    <w:tmpl w:val="E9C81A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7F1C2831"/>
    <w:multiLevelType w:val="multilevel"/>
    <w:tmpl w:val="4B3C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055806">
    <w:abstractNumId w:val="24"/>
  </w:num>
  <w:num w:numId="2" w16cid:durableId="371459961">
    <w:abstractNumId w:val="5"/>
  </w:num>
  <w:num w:numId="3" w16cid:durableId="1357344649">
    <w:abstractNumId w:val="15"/>
  </w:num>
  <w:num w:numId="4" w16cid:durableId="165287051">
    <w:abstractNumId w:val="27"/>
  </w:num>
  <w:num w:numId="5" w16cid:durableId="1918586719">
    <w:abstractNumId w:val="7"/>
  </w:num>
  <w:num w:numId="6" w16cid:durableId="506793637">
    <w:abstractNumId w:val="0"/>
  </w:num>
  <w:num w:numId="7" w16cid:durableId="845632189">
    <w:abstractNumId w:val="25"/>
  </w:num>
  <w:num w:numId="8" w16cid:durableId="312219290">
    <w:abstractNumId w:val="9"/>
  </w:num>
  <w:num w:numId="9" w16cid:durableId="1597982927">
    <w:abstractNumId w:val="4"/>
  </w:num>
  <w:num w:numId="10" w16cid:durableId="525680824">
    <w:abstractNumId w:val="28"/>
  </w:num>
  <w:num w:numId="11" w16cid:durableId="1623875777">
    <w:abstractNumId w:val="6"/>
  </w:num>
  <w:num w:numId="12" w16cid:durableId="820542275">
    <w:abstractNumId w:val="26"/>
  </w:num>
  <w:num w:numId="13" w16cid:durableId="1755972300">
    <w:abstractNumId w:val="8"/>
  </w:num>
  <w:num w:numId="14" w16cid:durableId="1583415435">
    <w:abstractNumId w:val="11"/>
  </w:num>
  <w:num w:numId="15" w16cid:durableId="146173896">
    <w:abstractNumId w:val="3"/>
  </w:num>
  <w:num w:numId="16" w16cid:durableId="228007408">
    <w:abstractNumId w:val="34"/>
  </w:num>
  <w:num w:numId="17" w16cid:durableId="632253809">
    <w:abstractNumId w:val="23"/>
  </w:num>
  <w:num w:numId="18" w16cid:durableId="1158351917">
    <w:abstractNumId w:val="13"/>
  </w:num>
  <w:num w:numId="19" w16cid:durableId="782461682">
    <w:abstractNumId w:val="1"/>
  </w:num>
  <w:num w:numId="20" w16cid:durableId="383139366">
    <w:abstractNumId w:val="30"/>
  </w:num>
  <w:num w:numId="21" w16cid:durableId="153573715">
    <w:abstractNumId w:val="12"/>
  </w:num>
  <w:num w:numId="22" w16cid:durableId="376130720">
    <w:abstractNumId w:val="31"/>
  </w:num>
  <w:num w:numId="23" w16cid:durableId="1828663426">
    <w:abstractNumId w:val="2"/>
  </w:num>
  <w:num w:numId="24" w16cid:durableId="680402035">
    <w:abstractNumId w:val="16"/>
  </w:num>
  <w:num w:numId="25" w16cid:durableId="699207019">
    <w:abstractNumId w:val="17"/>
  </w:num>
  <w:num w:numId="26" w16cid:durableId="1640260041">
    <w:abstractNumId w:val="10"/>
  </w:num>
  <w:num w:numId="27" w16cid:durableId="632105215">
    <w:abstractNumId w:val="20"/>
  </w:num>
  <w:num w:numId="28" w16cid:durableId="1889075231">
    <w:abstractNumId w:val="29"/>
  </w:num>
  <w:num w:numId="29" w16cid:durableId="1400439718">
    <w:abstractNumId w:val="33"/>
  </w:num>
  <w:num w:numId="30" w16cid:durableId="818545292">
    <w:abstractNumId w:val="32"/>
  </w:num>
  <w:num w:numId="31" w16cid:durableId="1906067731">
    <w:abstractNumId w:val="14"/>
  </w:num>
  <w:num w:numId="32" w16cid:durableId="561333589">
    <w:abstractNumId w:val="22"/>
  </w:num>
  <w:num w:numId="33" w16cid:durableId="168176879">
    <w:abstractNumId w:val="19"/>
  </w:num>
  <w:num w:numId="34" w16cid:durableId="267082509">
    <w:abstractNumId w:val="35"/>
  </w:num>
  <w:num w:numId="35" w16cid:durableId="940727346">
    <w:abstractNumId w:val="21"/>
  </w:num>
  <w:num w:numId="36" w16cid:durableId="155943348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216B0"/>
    <w:rsid w:val="00024D66"/>
    <w:rsid w:val="00026D19"/>
    <w:rsid w:val="00032BC2"/>
    <w:rsid w:val="0005592B"/>
    <w:rsid w:val="0006333A"/>
    <w:rsid w:val="00067ECD"/>
    <w:rsid w:val="00070142"/>
    <w:rsid w:val="00071628"/>
    <w:rsid w:val="00072BA8"/>
    <w:rsid w:val="00081DC4"/>
    <w:rsid w:val="00084647"/>
    <w:rsid w:val="00085448"/>
    <w:rsid w:val="0008609B"/>
    <w:rsid w:val="000861D9"/>
    <w:rsid w:val="00093E31"/>
    <w:rsid w:val="000975A1"/>
    <w:rsid w:val="000A0120"/>
    <w:rsid w:val="000B4417"/>
    <w:rsid w:val="000C70D6"/>
    <w:rsid w:val="000D13E4"/>
    <w:rsid w:val="000D5972"/>
    <w:rsid w:val="000D6C92"/>
    <w:rsid w:val="000E15C8"/>
    <w:rsid w:val="000E1E19"/>
    <w:rsid w:val="000E2774"/>
    <w:rsid w:val="000E415A"/>
    <w:rsid w:val="000F266E"/>
    <w:rsid w:val="000F7EFD"/>
    <w:rsid w:val="0010088F"/>
    <w:rsid w:val="00111E09"/>
    <w:rsid w:val="001140DB"/>
    <w:rsid w:val="0011676F"/>
    <w:rsid w:val="00116B9F"/>
    <w:rsid w:val="001243BD"/>
    <w:rsid w:val="00124D70"/>
    <w:rsid w:val="00126C95"/>
    <w:rsid w:val="00134CCE"/>
    <w:rsid w:val="00137E31"/>
    <w:rsid w:val="00145730"/>
    <w:rsid w:val="0015317E"/>
    <w:rsid w:val="00161125"/>
    <w:rsid w:val="0016124F"/>
    <w:rsid w:val="001622B4"/>
    <w:rsid w:val="00167242"/>
    <w:rsid w:val="00170EB6"/>
    <w:rsid w:val="001755B3"/>
    <w:rsid w:val="001755FC"/>
    <w:rsid w:val="0017646D"/>
    <w:rsid w:val="00176E93"/>
    <w:rsid w:val="00184D58"/>
    <w:rsid w:val="0019444A"/>
    <w:rsid w:val="001A1B01"/>
    <w:rsid w:val="001A36D2"/>
    <w:rsid w:val="001A4FB1"/>
    <w:rsid w:val="001B15BA"/>
    <w:rsid w:val="001B273B"/>
    <w:rsid w:val="001B2B4D"/>
    <w:rsid w:val="001B6781"/>
    <w:rsid w:val="001C49CA"/>
    <w:rsid w:val="001C64C2"/>
    <w:rsid w:val="001D157F"/>
    <w:rsid w:val="001D6A94"/>
    <w:rsid w:val="001D7EE8"/>
    <w:rsid w:val="001E047C"/>
    <w:rsid w:val="001E34A8"/>
    <w:rsid w:val="001E3F9F"/>
    <w:rsid w:val="001E7357"/>
    <w:rsid w:val="001F3116"/>
    <w:rsid w:val="001F48C8"/>
    <w:rsid w:val="001F66DA"/>
    <w:rsid w:val="0020140A"/>
    <w:rsid w:val="00202569"/>
    <w:rsid w:val="00203D9D"/>
    <w:rsid w:val="00210B55"/>
    <w:rsid w:val="002137A5"/>
    <w:rsid w:val="002158F9"/>
    <w:rsid w:val="00220810"/>
    <w:rsid w:val="00222893"/>
    <w:rsid w:val="0022466A"/>
    <w:rsid w:val="002270A5"/>
    <w:rsid w:val="002314B1"/>
    <w:rsid w:val="00231BB0"/>
    <w:rsid w:val="00234A1D"/>
    <w:rsid w:val="00240924"/>
    <w:rsid w:val="0024249F"/>
    <w:rsid w:val="00243770"/>
    <w:rsid w:val="00250E3B"/>
    <w:rsid w:val="00266031"/>
    <w:rsid w:val="00272825"/>
    <w:rsid w:val="002768D4"/>
    <w:rsid w:val="00280286"/>
    <w:rsid w:val="0028049E"/>
    <w:rsid w:val="002878BE"/>
    <w:rsid w:val="00292052"/>
    <w:rsid w:val="002A134F"/>
    <w:rsid w:val="002A207E"/>
    <w:rsid w:val="002A707A"/>
    <w:rsid w:val="002B1806"/>
    <w:rsid w:val="002B204B"/>
    <w:rsid w:val="002C128D"/>
    <w:rsid w:val="002C3AFB"/>
    <w:rsid w:val="002C5D47"/>
    <w:rsid w:val="002D7D6A"/>
    <w:rsid w:val="002E4A4D"/>
    <w:rsid w:val="002E4A80"/>
    <w:rsid w:val="002E4BB0"/>
    <w:rsid w:val="002F2292"/>
    <w:rsid w:val="002F2E14"/>
    <w:rsid w:val="002F3E4D"/>
    <w:rsid w:val="00302E32"/>
    <w:rsid w:val="003062DC"/>
    <w:rsid w:val="00307890"/>
    <w:rsid w:val="003106B6"/>
    <w:rsid w:val="00321021"/>
    <w:rsid w:val="0032576E"/>
    <w:rsid w:val="00330315"/>
    <w:rsid w:val="00332ADC"/>
    <w:rsid w:val="003336A7"/>
    <w:rsid w:val="00335CF3"/>
    <w:rsid w:val="003408D0"/>
    <w:rsid w:val="00347D1C"/>
    <w:rsid w:val="00363A6F"/>
    <w:rsid w:val="003661BE"/>
    <w:rsid w:val="003663A6"/>
    <w:rsid w:val="00367154"/>
    <w:rsid w:val="00371295"/>
    <w:rsid w:val="003725BA"/>
    <w:rsid w:val="0037551F"/>
    <w:rsid w:val="00382489"/>
    <w:rsid w:val="00384361"/>
    <w:rsid w:val="00393248"/>
    <w:rsid w:val="00393D26"/>
    <w:rsid w:val="00394679"/>
    <w:rsid w:val="00395427"/>
    <w:rsid w:val="00396B63"/>
    <w:rsid w:val="003A1296"/>
    <w:rsid w:val="003A57FE"/>
    <w:rsid w:val="003A7925"/>
    <w:rsid w:val="003B3E78"/>
    <w:rsid w:val="003B3FEB"/>
    <w:rsid w:val="003B5715"/>
    <w:rsid w:val="003B5C89"/>
    <w:rsid w:val="003B6A0D"/>
    <w:rsid w:val="003C3A43"/>
    <w:rsid w:val="003C45ED"/>
    <w:rsid w:val="003D310A"/>
    <w:rsid w:val="003E1B61"/>
    <w:rsid w:val="003F0EB7"/>
    <w:rsid w:val="003F1645"/>
    <w:rsid w:val="00403820"/>
    <w:rsid w:val="0040778F"/>
    <w:rsid w:val="00410E53"/>
    <w:rsid w:val="00414CE8"/>
    <w:rsid w:val="00417EFF"/>
    <w:rsid w:val="00420B9D"/>
    <w:rsid w:val="00424595"/>
    <w:rsid w:val="00425367"/>
    <w:rsid w:val="00431155"/>
    <w:rsid w:val="00432D53"/>
    <w:rsid w:val="004362C0"/>
    <w:rsid w:val="004435E2"/>
    <w:rsid w:val="004450A2"/>
    <w:rsid w:val="0044511D"/>
    <w:rsid w:val="00450338"/>
    <w:rsid w:val="00453E82"/>
    <w:rsid w:val="00454190"/>
    <w:rsid w:val="004554D3"/>
    <w:rsid w:val="00455619"/>
    <w:rsid w:val="004660CC"/>
    <w:rsid w:val="00467942"/>
    <w:rsid w:val="004818BC"/>
    <w:rsid w:val="00492458"/>
    <w:rsid w:val="004A6724"/>
    <w:rsid w:val="004A6A3D"/>
    <w:rsid w:val="004A6C61"/>
    <w:rsid w:val="004C61CD"/>
    <w:rsid w:val="004D29AA"/>
    <w:rsid w:val="004D3A1D"/>
    <w:rsid w:val="004D4457"/>
    <w:rsid w:val="004D6235"/>
    <w:rsid w:val="004D7F8C"/>
    <w:rsid w:val="004E0017"/>
    <w:rsid w:val="004E555F"/>
    <w:rsid w:val="004E58FF"/>
    <w:rsid w:val="004E663D"/>
    <w:rsid w:val="004F22C4"/>
    <w:rsid w:val="004F700A"/>
    <w:rsid w:val="0050081B"/>
    <w:rsid w:val="00500A24"/>
    <w:rsid w:val="00501A2E"/>
    <w:rsid w:val="00502C43"/>
    <w:rsid w:val="00502DBC"/>
    <w:rsid w:val="00511EEC"/>
    <w:rsid w:val="00526911"/>
    <w:rsid w:val="00527327"/>
    <w:rsid w:val="00527DB2"/>
    <w:rsid w:val="005330F4"/>
    <w:rsid w:val="005355C4"/>
    <w:rsid w:val="00536EA0"/>
    <w:rsid w:val="00542A98"/>
    <w:rsid w:val="00545A84"/>
    <w:rsid w:val="00554204"/>
    <w:rsid w:val="005619C0"/>
    <w:rsid w:val="00567FD9"/>
    <w:rsid w:val="00570024"/>
    <w:rsid w:val="00574F7A"/>
    <w:rsid w:val="00582AF9"/>
    <w:rsid w:val="00590AE5"/>
    <w:rsid w:val="005A575E"/>
    <w:rsid w:val="005A6235"/>
    <w:rsid w:val="005B3109"/>
    <w:rsid w:val="005C5CE1"/>
    <w:rsid w:val="005D0AC4"/>
    <w:rsid w:val="005D153D"/>
    <w:rsid w:val="005D1E7A"/>
    <w:rsid w:val="005D2860"/>
    <w:rsid w:val="005D35C0"/>
    <w:rsid w:val="005D6211"/>
    <w:rsid w:val="005D799E"/>
    <w:rsid w:val="005E0141"/>
    <w:rsid w:val="005E3A58"/>
    <w:rsid w:val="005F11F0"/>
    <w:rsid w:val="005F1A6E"/>
    <w:rsid w:val="005F3A9A"/>
    <w:rsid w:val="005F4D28"/>
    <w:rsid w:val="005F6ABA"/>
    <w:rsid w:val="005F731C"/>
    <w:rsid w:val="00602D13"/>
    <w:rsid w:val="00607024"/>
    <w:rsid w:val="006107DA"/>
    <w:rsid w:val="006117ED"/>
    <w:rsid w:val="0061741C"/>
    <w:rsid w:val="00623DDD"/>
    <w:rsid w:val="00623F7B"/>
    <w:rsid w:val="006266A4"/>
    <w:rsid w:val="00627FD4"/>
    <w:rsid w:val="0063309C"/>
    <w:rsid w:val="00634801"/>
    <w:rsid w:val="0064038A"/>
    <w:rsid w:val="00642507"/>
    <w:rsid w:val="00644487"/>
    <w:rsid w:val="00647561"/>
    <w:rsid w:val="006526B1"/>
    <w:rsid w:val="006549B6"/>
    <w:rsid w:val="006633EF"/>
    <w:rsid w:val="006660E5"/>
    <w:rsid w:val="00667BF1"/>
    <w:rsid w:val="006706DE"/>
    <w:rsid w:val="00673E0B"/>
    <w:rsid w:val="006828C2"/>
    <w:rsid w:val="00694595"/>
    <w:rsid w:val="006A0743"/>
    <w:rsid w:val="006A1743"/>
    <w:rsid w:val="006A3640"/>
    <w:rsid w:val="006A4C13"/>
    <w:rsid w:val="006B2F64"/>
    <w:rsid w:val="006C0368"/>
    <w:rsid w:val="006C29FE"/>
    <w:rsid w:val="006C5E39"/>
    <w:rsid w:val="006C7332"/>
    <w:rsid w:val="006D0A85"/>
    <w:rsid w:val="006D4382"/>
    <w:rsid w:val="006D6914"/>
    <w:rsid w:val="006E55FA"/>
    <w:rsid w:val="006F4085"/>
    <w:rsid w:val="006F4E7D"/>
    <w:rsid w:val="00701E57"/>
    <w:rsid w:val="00703CD6"/>
    <w:rsid w:val="00704476"/>
    <w:rsid w:val="00704482"/>
    <w:rsid w:val="0071040B"/>
    <w:rsid w:val="007115F4"/>
    <w:rsid w:val="007235D9"/>
    <w:rsid w:val="007258FD"/>
    <w:rsid w:val="00725F76"/>
    <w:rsid w:val="00752A76"/>
    <w:rsid w:val="00757A4B"/>
    <w:rsid w:val="00780B22"/>
    <w:rsid w:val="0078110B"/>
    <w:rsid w:val="007A246D"/>
    <w:rsid w:val="007A2688"/>
    <w:rsid w:val="007D1E26"/>
    <w:rsid w:val="007E0537"/>
    <w:rsid w:val="007E35F2"/>
    <w:rsid w:val="007E6C20"/>
    <w:rsid w:val="007E780C"/>
    <w:rsid w:val="007F001B"/>
    <w:rsid w:val="007F2485"/>
    <w:rsid w:val="007F415A"/>
    <w:rsid w:val="008043E8"/>
    <w:rsid w:val="008116A6"/>
    <w:rsid w:val="0081353A"/>
    <w:rsid w:val="00813B97"/>
    <w:rsid w:val="00815935"/>
    <w:rsid w:val="00816BA3"/>
    <w:rsid w:val="008171DE"/>
    <w:rsid w:val="00826082"/>
    <w:rsid w:val="00826397"/>
    <w:rsid w:val="00826F84"/>
    <w:rsid w:val="00833526"/>
    <w:rsid w:val="00835A4E"/>
    <w:rsid w:val="00841407"/>
    <w:rsid w:val="00842C17"/>
    <w:rsid w:val="00844649"/>
    <w:rsid w:val="00850DCC"/>
    <w:rsid w:val="00852C9E"/>
    <w:rsid w:val="0086051F"/>
    <w:rsid w:val="00863901"/>
    <w:rsid w:val="00866EB2"/>
    <w:rsid w:val="00872CC5"/>
    <w:rsid w:val="008765B2"/>
    <w:rsid w:val="008814A3"/>
    <w:rsid w:val="00882320"/>
    <w:rsid w:val="008855F3"/>
    <w:rsid w:val="008860D6"/>
    <w:rsid w:val="0089105B"/>
    <w:rsid w:val="00893C52"/>
    <w:rsid w:val="008A0F61"/>
    <w:rsid w:val="008A1AAB"/>
    <w:rsid w:val="008A2612"/>
    <w:rsid w:val="008C7FB8"/>
    <w:rsid w:val="008D455D"/>
    <w:rsid w:val="008E0373"/>
    <w:rsid w:val="008E1C68"/>
    <w:rsid w:val="008F30FC"/>
    <w:rsid w:val="008F3F4D"/>
    <w:rsid w:val="00900268"/>
    <w:rsid w:val="00901C3D"/>
    <w:rsid w:val="0090537E"/>
    <w:rsid w:val="00911946"/>
    <w:rsid w:val="00912094"/>
    <w:rsid w:val="00921467"/>
    <w:rsid w:val="00921BA9"/>
    <w:rsid w:val="00933053"/>
    <w:rsid w:val="00935EAE"/>
    <w:rsid w:val="009368D6"/>
    <w:rsid w:val="00937766"/>
    <w:rsid w:val="00937B6C"/>
    <w:rsid w:val="00947F31"/>
    <w:rsid w:val="009507B0"/>
    <w:rsid w:val="009528E7"/>
    <w:rsid w:val="00952FF7"/>
    <w:rsid w:val="00955863"/>
    <w:rsid w:val="00955A96"/>
    <w:rsid w:val="00957288"/>
    <w:rsid w:val="009574EA"/>
    <w:rsid w:val="00960CF3"/>
    <w:rsid w:val="00962409"/>
    <w:rsid w:val="00966E74"/>
    <w:rsid w:val="00966F22"/>
    <w:rsid w:val="009670BC"/>
    <w:rsid w:val="00967277"/>
    <w:rsid w:val="0096773B"/>
    <w:rsid w:val="00972026"/>
    <w:rsid w:val="0099170E"/>
    <w:rsid w:val="00991B80"/>
    <w:rsid w:val="009A4015"/>
    <w:rsid w:val="009A5211"/>
    <w:rsid w:val="009B7C6F"/>
    <w:rsid w:val="009C11A4"/>
    <w:rsid w:val="009D220D"/>
    <w:rsid w:val="009D2423"/>
    <w:rsid w:val="009D58D8"/>
    <w:rsid w:val="009D61C2"/>
    <w:rsid w:val="009E31EC"/>
    <w:rsid w:val="009E43A6"/>
    <w:rsid w:val="009E775A"/>
    <w:rsid w:val="009F4134"/>
    <w:rsid w:val="00A00807"/>
    <w:rsid w:val="00A04774"/>
    <w:rsid w:val="00A059A5"/>
    <w:rsid w:val="00A05BE4"/>
    <w:rsid w:val="00A05EA5"/>
    <w:rsid w:val="00A166E6"/>
    <w:rsid w:val="00A2405E"/>
    <w:rsid w:val="00A243ED"/>
    <w:rsid w:val="00A25152"/>
    <w:rsid w:val="00A343E6"/>
    <w:rsid w:val="00A40861"/>
    <w:rsid w:val="00A438A1"/>
    <w:rsid w:val="00A45FCC"/>
    <w:rsid w:val="00A5048D"/>
    <w:rsid w:val="00A55F3B"/>
    <w:rsid w:val="00A57E57"/>
    <w:rsid w:val="00A61418"/>
    <w:rsid w:val="00A616D5"/>
    <w:rsid w:val="00A6208F"/>
    <w:rsid w:val="00A63FC3"/>
    <w:rsid w:val="00A65FD1"/>
    <w:rsid w:val="00A66E5E"/>
    <w:rsid w:val="00A75D0A"/>
    <w:rsid w:val="00A8612B"/>
    <w:rsid w:val="00A86704"/>
    <w:rsid w:val="00A87FC5"/>
    <w:rsid w:val="00A9340D"/>
    <w:rsid w:val="00AA074B"/>
    <w:rsid w:val="00AA0AE0"/>
    <w:rsid w:val="00AA40F1"/>
    <w:rsid w:val="00AB7176"/>
    <w:rsid w:val="00AD6A20"/>
    <w:rsid w:val="00AD6F5C"/>
    <w:rsid w:val="00AF72C4"/>
    <w:rsid w:val="00B0638E"/>
    <w:rsid w:val="00B06ACC"/>
    <w:rsid w:val="00B10EDB"/>
    <w:rsid w:val="00B13570"/>
    <w:rsid w:val="00B1396B"/>
    <w:rsid w:val="00B13AFB"/>
    <w:rsid w:val="00B143FA"/>
    <w:rsid w:val="00B20797"/>
    <w:rsid w:val="00B22CB3"/>
    <w:rsid w:val="00B2398F"/>
    <w:rsid w:val="00B24F0E"/>
    <w:rsid w:val="00B26D8B"/>
    <w:rsid w:val="00B2753F"/>
    <w:rsid w:val="00B32399"/>
    <w:rsid w:val="00B35B16"/>
    <w:rsid w:val="00B47E58"/>
    <w:rsid w:val="00B53DD3"/>
    <w:rsid w:val="00B547DA"/>
    <w:rsid w:val="00B55E78"/>
    <w:rsid w:val="00B63FD4"/>
    <w:rsid w:val="00B72C82"/>
    <w:rsid w:val="00B72FCD"/>
    <w:rsid w:val="00B73F34"/>
    <w:rsid w:val="00B821C5"/>
    <w:rsid w:val="00B85F8B"/>
    <w:rsid w:val="00B8775E"/>
    <w:rsid w:val="00BA5DA2"/>
    <w:rsid w:val="00BB1C39"/>
    <w:rsid w:val="00BC2E92"/>
    <w:rsid w:val="00BD099A"/>
    <w:rsid w:val="00BD794E"/>
    <w:rsid w:val="00BE0AE4"/>
    <w:rsid w:val="00BF6EDD"/>
    <w:rsid w:val="00C001A5"/>
    <w:rsid w:val="00C01F6B"/>
    <w:rsid w:val="00C02415"/>
    <w:rsid w:val="00C03BC8"/>
    <w:rsid w:val="00C06F5E"/>
    <w:rsid w:val="00C10B0B"/>
    <w:rsid w:val="00C114D1"/>
    <w:rsid w:val="00C11F0C"/>
    <w:rsid w:val="00C142C6"/>
    <w:rsid w:val="00C1655C"/>
    <w:rsid w:val="00C240C6"/>
    <w:rsid w:val="00C24E3E"/>
    <w:rsid w:val="00C25780"/>
    <w:rsid w:val="00C2651F"/>
    <w:rsid w:val="00C26C37"/>
    <w:rsid w:val="00C3177A"/>
    <w:rsid w:val="00C33B14"/>
    <w:rsid w:val="00C468C0"/>
    <w:rsid w:val="00C47BEC"/>
    <w:rsid w:val="00C64A56"/>
    <w:rsid w:val="00C67457"/>
    <w:rsid w:val="00C72160"/>
    <w:rsid w:val="00C72289"/>
    <w:rsid w:val="00C74719"/>
    <w:rsid w:val="00C81CA5"/>
    <w:rsid w:val="00C859FF"/>
    <w:rsid w:val="00C86AF8"/>
    <w:rsid w:val="00C86D19"/>
    <w:rsid w:val="00C87B8E"/>
    <w:rsid w:val="00C93F3C"/>
    <w:rsid w:val="00C9666B"/>
    <w:rsid w:val="00C97ECF"/>
    <w:rsid w:val="00CA7D93"/>
    <w:rsid w:val="00CB218B"/>
    <w:rsid w:val="00CB37ED"/>
    <w:rsid w:val="00CB7685"/>
    <w:rsid w:val="00CC150C"/>
    <w:rsid w:val="00CC3BA7"/>
    <w:rsid w:val="00CC6D3A"/>
    <w:rsid w:val="00CD13ED"/>
    <w:rsid w:val="00CD612E"/>
    <w:rsid w:val="00CE2346"/>
    <w:rsid w:val="00CE4E27"/>
    <w:rsid w:val="00CE53B8"/>
    <w:rsid w:val="00CE626A"/>
    <w:rsid w:val="00CF0452"/>
    <w:rsid w:val="00CF7CFF"/>
    <w:rsid w:val="00D00A0F"/>
    <w:rsid w:val="00D04192"/>
    <w:rsid w:val="00D04BE0"/>
    <w:rsid w:val="00D1028C"/>
    <w:rsid w:val="00D11331"/>
    <w:rsid w:val="00D1148C"/>
    <w:rsid w:val="00D12B8C"/>
    <w:rsid w:val="00D1348B"/>
    <w:rsid w:val="00D167A0"/>
    <w:rsid w:val="00D201B1"/>
    <w:rsid w:val="00D20402"/>
    <w:rsid w:val="00D21022"/>
    <w:rsid w:val="00D235B4"/>
    <w:rsid w:val="00D35058"/>
    <w:rsid w:val="00D46B7E"/>
    <w:rsid w:val="00D47D7F"/>
    <w:rsid w:val="00D5057E"/>
    <w:rsid w:val="00D51BD0"/>
    <w:rsid w:val="00D51CF2"/>
    <w:rsid w:val="00D530EA"/>
    <w:rsid w:val="00D565BC"/>
    <w:rsid w:val="00D66DC9"/>
    <w:rsid w:val="00D705AA"/>
    <w:rsid w:val="00D77C19"/>
    <w:rsid w:val="00D804D8"/>
    <w:rsid w:val="00D8250C"/>
    <w:rsid w:val="00D82B7B"/>
    <w:rsid w:val="00D82DE7"/>
    <w:rsid w:val="00D840DB"/>
    <w:rsid w:val="00D96E6B"/>
    <w:rsid w:val="00DA102A"/>
    <w:rsid w:val="00DC35B4"/>
    <w:rsid w:val="00DC4E9F"/>
    <w:rsid w:val="00DC6572"/>
    <w:rsid w:val="00DD1C4E"/>
    <w:rsid w:val="00DE38A6"/>
    <w:rsid w:val="00DF0D32"/>
    <w:rsid w:val="00DF34C7"/>
    <w:rsid w:val="00DF5B5E"/>
    <w:rsid w:val="00E0127A"/>
    <w:rsid w:val="00E029C5"/>
    <w:rsid w:val="00E074FA"/>
    <w:rsid w:val="00E178A7"/>
    <w:rsid w:val="00E20300"/>
    <w:rsid w:val="00E20350"/>
    <w:rsid w:val="00E25107"/>
    <w:rsid w:val="00E30D6C"/>
    <w:rsid w:val="00E3575B"/>
    <w:rsid w:val="00E41E84"/>
    <w:rsid w:val="00E42BE2"/>
    <w:rsid w:val="00E436F2"/>
    <w:rsid w:val="00E43F13"/>
    <w:rsid w:val="00E45736"/>
    <w:rsid w:val="00E45884"/>
    <w:rsid w:val="00E571BB"/>
    <w:rsid w:val="00E61544"/>
    <w:rsid w:val="00E620F6"/>
    <w:rsid w:val="00E65242"/>
    <w:rsid w:val="00E70D95"/>
    <w:rsid w:val="00E74CCD"/>
    <w:rsid w:val="00E82214"/>
    <w:rsid w:val="00E90FCC"/>
    <w:rsid w:val="00E926D0"/>
    <w:rsid w:val="00EA3FCC"/>
    <w:rsid w:val="00EA4EF1"/>
    <w:rsid w:val="00EA6457"/>
    <w:rsid w:val="00EB2D09"/>
    <w:rsid w:val="00EB4303"/>
    <w:rsid w:val="00EB5ACB"/>
    <w:rsid w:val="00EC0FE9"/>
    <w:rsid w:val="00EC344D"/>
    <w:rsid w:val="00ED27AB"/>
    <w:rsid w:val="00ED6064"/>
    <w:rsid w:val="00ED70F3"/>
    <w:rsid w:val="00EE5D5F"/>
    <w:rsid w:val="00EF05CE"/>
    <w:rsid w:val="00F05D7D"/>
    <w:rsid w:val="00F0763B"/>
    <w:rsid w:val="00F169E3"/>
    <w:rsid w:val="00F20C36"/>
    <w:rsid w:val="00F25948"/>
    <w:rsid w:val="00F31069"/>
    <w:rsid w:val="00F3287B"/>
    <w:rsid w:val="00F350CD"/>
    <w:rsid w:val="00F359FA"/>
    <w:rsid w:val="00F35D9E"/>
    <w:rsid w:val="00F40687"/>
    <w:rsid w:val="00F41913"/>
    <w:rsid w:val="00F50D19"/>
    <w:rsid w:val="00F55FBC"/>
    <w:rsid w:val="00F567A9"/>
    <w:rsid w:val="00F57887"/>
    <w:rsid w:val="00F57DE5"/>
    <w:rsid w:val="00F60E67"/>
    <w:rsid w:val="00F6457B"/>
    <w:rsid w:val="00F71D96"/>
    <w:rsid w:val="00F71E3B"/>
    <w:rsid w:val="00F74539"/>
    <w:rsid w:val="00F75A83"/>
    <w:rsid w:val="00F826BD"/>
    <w:rsid w:val="00F86C31"/>
    <w:rsid w:val="00F87E21"/>
    <w:rsid w:val="00F87F61"/>
    <w:rsid w:val="00F90F0B"/>
    <w:rsid w:val="00F934A6"/>
    <w:rsid w:val="00F95E3E"/>
    <w:rsid w:val="00F96C59"/>
    <w:rsid w:val="00FA304C"/>
    <w:rsid w:val="00FB39B6"/>
    <w:rsid w:val="00FB3DD6"/>
    <w:rsid w:val="00FB4DC8"/>
    <w:rsid w:val="00FC58D6"/>
    <w:rsid w:val="00FC68D2"/>
    <w:rsid w:val="00FD0430"/>
    <w:rsid w:val="00FE0BEF"/>
    <w:rsid w:val="00FE1010"/>
    <w:rsid w:val="00FE2F4B"/>
    <w:rsid w:val="00FE3B5A"/>
    <w:rsid w:val="00FF1A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16"/>
  </w:style>
  <w:style w:type="paragraph" w:styleId="Heading1">
    <w:name w:val="heading 1"/>
    <w:aliases w:val="H1 Char,H1,Head1,Heading apps,h1,BMS Heading 1,H11,H12,H13,H14,H15,H16,H17,Outline1,Level 1 Topic Heading,Header1,Heading 1-ERI,l1,Head 1 (Chapter heading),Head 1,Head 11,Head 12,Head 111,Head 13,Head 112,Head 14,Head 113,Head 15,Head 114"/>
    <w:basedOn w:val="Normal"/>
    <w:next w:val="Normal"/>
    <w:link w:val="Heading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Heading2">
    <w:name w:val="heading 2"/>
    <w:aliases w:val="2,Header 2,h2,Heading Bug,H2,Sub-Head1,Heading 2- no#,H21,H22,H23,H2Normal,Sub Head,H211,H212,H221,H2111,H24,H213,H222,H2112,H231,H2121,H2211,H21111,H25,H26,H214,H223,H2113,H27,H215,H224,H2114,H28,H216,H225,H2115,H232,H241,H2122,H2212,ni2"/>
    <w:basedOn w:val="Normal"/>
    <w:next w:val="Normal"/>
    <w:link w:val="Heading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Proposa,Project 3,h3,Heading 3 - old,1.2.3.,alltoc,3,Heading 4 Proposal,h31,h32,Bold Head,bh,(1.1.1),hd3,Minor,1.1.1 Heading,0,Heading 2.3,(Alt+3),Titles,(Alt+3)1,(Alt+3)2,(Alt+3)3,(Alt+3)4,(Alt+3)5,(Alt+3)6,(Alt+3)11,(Alt+3)21,l3,H31,H"/>
    <w:basedOn w:val="Normal"/>
    <w:next w:val="Normal"/>
    <w:link w:val="Heading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Heading4"/>
    <w:next w:val="Normal"/>
    <w:link w:val="Heading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Heading6">
    <w:name w:val="heading 6"/>
    <w:aliases w:val="H6,Char Char,Char Char Char,Char Char + Left:  0 cm,... + Left:  0 cm,...,Char Char Char Char Char Char,hd6,h6, Char Char,H61,H62,H63,H64,H611,H65,H612,H621,H631,H641,H66,H613,H622,H632,H642,H67,H614,Heading 6 Char"/>
    <w:basedOn w:val="Normal"/>
    <w:next w:val="Normal"/>
    <w:link w:val="Heading6Char1"/>
    <w:qFormat/>
    <w:rsid w:val="00B35B16"/>
    <w:pPr>
      <w:spacing w:before="120" w:after="120" w:line="240" w:lineRule="auto"/>
      <w:ind w:left="1152" w:hanging="1152"/>
      <w:jc w:val="both"/>
      <w:outlineLvl w:val="5"/>
    </w:pPr>
    <w:rPr>
      <w:rFonts w:ascii="Tahoma" w:eastAsia="SimSun" w:hAnsi="Tahoma" w:cs="Tahoma"/>
      <w:b/>
      <w:szCs w:val="20"/>
    </w:rPr>
  </w:style>
  <w:style w:type="paragraph" w:styleId="Heading7">
    <w:name w:val="heading 7"/>
    <w:basedOn w:val="Normal"/>
    <w:next w:val="Normal"/>
    <w:link w:val="Heading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Heading8">
    <w:name w:val="heading 8"/>
    <w:basedOn w:val="Normal"/>
    <w:next w:val="Normal"/>
    <w:link w:val="Heading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Heading9">
    <w:name w:val="heading 9"/>
    <w:aliases w:val="AC&amp;E_1,App Heading"/>
    <w:basedOn w:val="Normal"/>
    <w:next w:val="Normal"/>
    <w:link w:val="Heading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Char,H1 Char1,Head1 Char,Heading apps Char,h1 Char,BMS Heading 1 Char,H11 Char,H12 Char,H13 Char,H14 Char,H15 Char,H16 Char,H17 Char,Outline1 Char,Level 1 Topic Heading Char,Header1 Char,Heading 1-ERI Char,l1 Char,Head 1 Char"/>
    <w:basedOn w:val="DefaultParagraphFont"/>
    <w:link w:val="Heading1"/>
    <w:uiPriority w:val="1"/>
    <w:rsid w:val="00B35B16"/>
    <w:rPr>
      <w:rFonts w:ascii="Times New Roman" w:eastAsia="Times New Roman" w:hAnsi="Times New Roman" w:cs="Times New Roman"/>
      <w:b/>
      <w:bCs/>
      <w:sz w:val="24"/>
      <w:szCs w:val="24"/>
      <w:lang w:eastAsia="el-GR"/>
    </w:rPr>
  </w:style>
  <w:style w:type="character" w:customStyle="1" w:styleId="Heading2Char">
    <w:name w:val="Heading 2 Char"/>
    <w:aliases w:val="2 Char,Header 2 Char,h2 Char,Heading Bug Char,H2 Char,Sub-Head1 Char,Heading 2- no# Char,H21 Char,H22 Char,H23 Char,H2Normal Char,Sub Head Char,H211 Char,H212 Char,H221 Char,H2111 Char,H24 Char,H213 Char,H222 Char,H2112 Char,H231 Char"/>
    <w:basedOn w:val="DefaultParagraphFont"/>
    <w:link w:val="Heading2"/>
    <w:uiPriority w:val="9"/>
    <w:rsid w:val="00B35B16"/>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3 Char,Proposa Char,Project 3 Char,h3 Char,Heading 3 - old Char,1.2.3. Char,alltoc Char,3 Char,Heading 4 Proposal Char,h31 Char,h32 Char,Bold Head Char,bh Char,(1.1.1) Char,hd3 Char,Minor Char,1.1.1 Heading Char,0 Char,Heading 2.3 Char"/>
    <w:basedOn w:val="DefaultParagraphFont"/>
    <w:link w:val="Heading3"/>
    <w:uiPriority w:val="9"/>
    <w:rsid w:val="00B35B1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35B16"/>
    <w:rPr>
      <w:rFonts w:asciiTheme="majorHAnsi" w:eastAsiaTheme="majorEastAsia" w:hAnsiTheme="majorHAnsi" w:cstheme="majorBidi"/>
      <w:i/>
      <w:iCs/>
      <w:color w:val="2F5496" w:themeColor="accent1" w:themeShade="BF"/>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uiPriority w:val="9"/>
    <w:rsid w:val="00B35B16"/>
    <w:rPr>
      <w:rFonts w:ascii="Tahoma" w:eastAsia="SimSun" w:hAnsi="Tahoma" w:cs="Calibri"/>
      <w:b/>
      <w:bCs/>
      <w:i/>
      <w:color w:val="333399"/>
      <w:szCs w:val="20"/>
      <w:u w:val="single"/>
      <w:lang w:eastAsia="zh-CN"/>
    </w:rPr>
  </w:style>
  <w:style w:type="character" w:customStyle="1" w:styleId="Heading6Char1">
    <w:name w:val="Heading 6 Char1"/>
    <w:aliases w:val="H6 Char,Char Char Char1,Char Char Char Char,Char Char + Left:  0 cm Char,... + Left:  0 cm Char,... Char,Char Char Char Char Char Char Char,hd6 Char,h6 Char, Char Char Char,H61 Char,H62 Char,H63 Char,H64 Char,H611 Char,H65 Char,H612 Char"/>
    <w:basedOn w:val="DefaultParagraphFont"/>
    <w:link w:val="Heading6"/>
    <w:uiPriority w:val="9"/>
    <w:rsid w:val="00B35B16"/>
    <w:rPr>
      <w:rFonts w:ascii="Tahoma" w:eastAsia="SimSun" w:hAnsi="Tahoma" w:cs="Tahoma"/>
      <w:b/>
      <w:szCs w:val="20"/>
    </w:rPr>
  </w:style>
  <w:style w:type="character" w:customStyle="1" w:styleId="Heading7Char">
    <w:name w:val="Heading 7 Char"/>
    <w:basedOn w:val="DefaultParagraphFont"/>
    <w:link w:val="Heading7"/>
    <w:uiPriority w:val="9"/>
    <w:rsid w:val="00B35B16"/>
    <w:rPr>
      <w:rFonts w:ascii="Tahoma" w:eastAsia="SimSun" w:hAnsi="Tahoma" w:cs="Times New Roman"/>
      <w:b/>
      <w:szCs w:val="20"/>
      <w:shd w:val="clear" w:color="auto" w:fill="BFBFBF" w:themeFill="background1" w:themeFillShade="BF"/>
    </w:rPr>
  </w:style>
  <w:style w:type="character" w:customStyle="1" w:styleId="Heading8Char">
    <w:name w:val="Heading 8 Char"/>
    <w:basedOn w:val="DefaultParagraphFont"/>
    <w:link w:val="Heading8"/>
    <w:uiPriority w:val="9"/>
    <w:rsid w:val="00B35B16"/>
    <w:rPr>
      <w:rFonts w:ascii="Tahoma" w:eastAsia="SimSun" w:hAnsi="Tahoma" w:cs="Times New Roman"/>
      <w:sz w:val="18"/>
      <w:szCs w:val="20"/>
      <w:u w:val="single"/>
    </w:rPr>
  </w:style>
  <w:style w:type="character" w:customStyle="1" w:styleId="Heading9Char">
    <w:name w:val="Heading 9 Char"/>
    <w:aliases w:val="AC&amp;E_1 Char,App Heading Char"/>
    <w:basedOn w:val="DefaultParagraphFont"/>
    <w:link w:val="Heading9"/>
    <w:uiPriority w:val="9"/>
    <w:rsid w:val="00B35B16"/>
    <w:rPr>
      <w:rFonts w:ascii="Tahoma" w:eastAsia="SimSun" w:hAnsi="Tahoma" w:cs="Times New Roman"/>
      <w:sz w:val="18"/>
      <w:szCs w:val="20"/>
      <w:u w:val="single"/>
    </w:rPr>
  </w:style>
  <w:style w:type="paragraph" w:styleId="Header">
    <w:name w:val="header"/>
    <w:aliases w:val="hd Char,hd"/>
    <w:basedOn w:val="Normal"/>
    <w:link w:val="HeaderChar"/>
    <w:unhideWhenUsed/>
    <w:rsid w:val="00B35B16"/>
    <w:pPr>
      <w:tabs>
        <w:tab w:val="center" w:pos="4153"/>
        <w:tab w:val="right" w:pos="8306"/>
      </w:tabs>
      <w:spacing w:after="0" w:line="240" w:lineRule="auto"/>
    </w:pPr>
  </w:style>
  <w:style w:type="character" w:customStyle="1" w:styleId="HeaderChar">
    <w:name w:val="Header Char"/>
    <w:aliases w:val="hd Char Char,hd Char1"/>
    <w:basedOn w:val="DefaultParagraphFont"/>
    <w:link w:val="Header"/>
    <w:uiPriority w:val="99"/>
    <w:rsid w:val="00B35B16"/>
  </w:style>
  <w:style w:type="paragraph" w:styleId="Footer">
    <w:name w:val="footer"/>
    <w:aliases w:val="ft,fo"/>
    <w:basedOn w:val="Normal"/>
    <w:link w:val="FooterChar"/>
    <w:unhideWhenUsed/>
    <w:qFormat/>
    <w:rsid w:val="00B35B16"/>
    <w:pPr>
      <w:tabs>
        <w:tab w:val="center" w:pos="4153"/>
        <w:tab w:val="right" w:pos="8306"/>
      </w:tabs>
      <w:spacing w:after="0" w:line="240" w:lineRule="auto"/>
    </w:pPr>
  </w:style>
  <w:style w:type="character" w:customStyle="1" w:styleId="FooterChar">
    <w:name w:val="Footer Char"/>
    <w:aliases w:val="ft Char,fo Char"/>
    <w:basedOn w:val="DefaultParagraphFont"/>
    <w:link w:val="Footer"/>
    <w:uiPriority w:val="99"/>
    <w:qFormat/>
    <w:rsid w:val="00B35B16"/>
  </w:style>
  <w:style w:type="character" w:styleId="PageNumber">
    <w:name w:val="page number"/>
    <w:basedOn w:val="DefaultParagraphFont"/>
    <w:rsid w:val="00B35B16"/>
  </w:style>
  <w:style w:type="paragraph" w:styleId="ListParagraph">
    <w:name w:val="List Paragraph"/>
    <w:aliases w:val="Bullet21,Bullet22,Bullet23,Bullet211,Bullet24,Bullet25,Bullet26,Bullet27,bl11,Bullet212,Bullet28,bl12,Bullet213,Bullet29,bl13,Bullet214,Bullet210,Bullet215,Γράφημα,Bullet List,FooterText,numbered,List Paragraph1,Paragraphe de liste1,列出"/>
    <w:basedOn w:val="Normal"/>
    <w:link w:val="ListParagraphChar"/>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Hyperlink">
    <w:name w:val="Hyperlink"/>
    <w:basedOn w:val="DefaultParagraphFont"/>
    <w:uiPriority w:val="99"/>
    <w:unhideWhenUsed/>
    <w:rsid w:val="00B35B16"/>
    <w:rPr>
      <w:color w:val="0563C1" w:themeColor="hyperlink"/>
      <w:u w:val="single"/>
    </w:rPr>
  </w:style>
  <w:style w:type="character" w:customStyle="1" w:styleId="10">
    <w:name w:val="Ανεπίλυτη αναφορά1"/>
    <w:basedOn w:val="DefaultParagraphFont"/>
    <w:uiPriority w:val="99"/>
    <w:semiHidden/>
    <w:unhideWhenUsed/>
    <w:rsid w:val="00B35B16"/>
    <w:rPr>
      <w:color w:val="605E5C"/>
      <w:shd w:val="clear" w:color="auto" w:fill="E1DFDD"/>
    </w:rPr>
  </w:style>
  <w:style w:type="character" w:styleId="Strong">
    <w:name w:val="Strong"/>
    <w:uiPriority w:val="22"/>
    <w:qFormat/>
    <w:rsid w:val="00B35B16"/>
    <w:rPr>
      <w:b/>
      <w:bCs/>
    </w:rPr>
  </w:style>
  <w:style w:type="paragraph" w:customStyle="1" w:styleId="11">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1"/>
    <w:qFormat/>
    <w:locked/>
    <w:rsid w:val="00B35B16"/>
    <w:rPr>
      <w:lang w:val="en-US"/>
    </w:rPr>
  </w:style>
  <w:style w:type="paragraph" w:styleId="BalloonText">
    <w:name w:val="Balloon Text"/>
    <w:basedOn w:val="Normal"/>
    <w:link w:val="BalloonTextChar"/>
    <w:unhideWhenUsed/>
    <w:rsid w:val="00B35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5B16"/>
    <w:rPr>
      <w:rFonts w:ascii="Segoe UI" w:hAnsi="Segoe UI" w:cs="Segoe UI"/>
      <w:sz w:val="18"/>
      <w:szCs w:val="18"/>
    </w:rPr>
  </w:style>
  <w:style w:type="paragraph" w:styleId="BodyTextIndent">
    <w:name w:val="Body Text Indent"/>
    <w:basedOn w:val="Normal"/>
    <w:link w:val="BodyTextIndentChar"/>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B35B16"/>
    <w:rPr>
      <w:rFonts w:ascii="Times New Roman" w:eastAsia="Times New Roman" w:hAnsi="Times New Roman" w:cs="Times New Roman"/>
      <w:sz w:val="24"/>
      <w:szCs w:val="24"/>
      <w:lang w:val="en-GB"/>
    </w:rPr>
  </w:style>
  <w:style w:type="table" w:styleId="TableGrid">
    <w:name w:val="Table Grid"/>
    <w:basedOn w:val="TableNormal"/>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B35B16"/>
  </w:style>
  <w:style w:type="character" w:customStyle="1" w:styleId="lrzxr">
    <w:name w:val="lrzxr"/>
    <w:basedOn w:val="DefaultParagraphFont"/>
    <w:rsid w:val="00B35B16"/>
  </w:style>
  <w:style w:type="paragraph" w:customStyle="1" w:styleId="yiv5343072012msonormal">
    <w:name w:val="yiv5343072012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DefaultParagraphFont"/>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Normal"/>
    <w:uiPriority w:val="99"/>
    <w:rsid w:val="00B35B16"/>
    <w:pPr>
      <w:spacing w:before="60" w:after="0" w:line="360" w:lineRule="auto"/>
    </w:pPr>
    <w:rPr>
      <w:rFonts w:ascii="Arial" w:eastAsia="Times New Roman" w:hAnsi="Arial" w:cs="Times New Roman"/>
      <w:b/>
      <w:bCs/>
      <w:szCs w:val="20"/>
      <w:lang w:eastAsia="el-GR"/>
    </w:rPr>
  </w:style>
  <w:style w:type="paragraph" w:customStyle="1" w:styleId="20">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NormalWeb">
    <w:name w:val="Normal (Web)"/>
    <w:basedOn w:val="Normal"/>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0">
    <w:name w:val="Σώμα κειμένου_"/>
    <w:basedOn w:val="DefaultParagraphFont"/>
    <w:link w:val="50"/>
    <w:rsid w:val="00B35B16"/>
    <w:rPr>
      <w:rFonts w:ascii="Times New Roman" w:eastAsia="Times New Roman" w:hAnsi="Times New Roman" w:cs="Times New Roman"/>
      <w:shd w:val="clear" w:color="auto" w:fill="FFFFFF"/>
    </w:rPr>
  </w:style>
  <w:style w:type="character" w:customStyle="1" w:styleId="12">
    <w:name w:val="Σώμα κειμένου1"/>
    <w:basedOn w:val="a0"/>
    <w:rsid w:val="00B35B16"/>
    <w:rPr>
      <w:rFonts w:ascii="Times New Roman" w:eastAsia="Times New Roman" w:hAnsi="Times New Roman" w:cs="Times New Roman"/>
      <w:shd w:val="clear" w:color="auto" w:fill="FFFFFF"/>
    </w:rPr>
  </w:style>
  <w:style w:type="paragraph" w:customStyle="1" w:styleId="50">
    <w:name w:val="Σώμα κειμένου5"/>
    <w:basedOn w:val="Normal"/>
    <w:link w:val="a0"/>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FootnoteText">
    <w:name w:val="footnote text"/>
    <w:aliases w:val="Footnote Text Char1,Footnote Text Char Char,Point 3 Char Char Char,Footnote text Char Char,Κείμενο υποσημείωσης-KATERINA Char Char,Char1 Char Char Char,Footnote Char1 Char Char,Point 3 Char"/>
    <w:basedOn w:val="Normal"/>
    <w:link w:val="FootnoteTextChar"/>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FootnoteTextChar">
    <w:name w:val="Footnote Text Char"/>
    <w:aliases w:val="Footnote Text Char1 Char,Footnote Text Char Char Char,Point 3 Char Char Char Char,Footnote text Char Char Char,Κείμενο υποσημείωσης-KATERINA Char Char Char,Char1 Char Char Char Char,Footnote Char1 Char Char Char,Point 3 Char Char"/>
    <w:basedOn w:val="DefaultParagraphFont"/>
    <w:link w:val="FootnoteText"/>
    <w:uiPriority w:val="99"/>
    <w:rsid w:val="00B35B16"/>
    <w:rPr>
      <w:rFonts w:ascii="Tahoma" w:eastAsia="Arial Unicode MS" w:hAnsi="Tahoma" w:cs="Arial Unicode MS"/>
      <w:color w:val="000000"/>
      <w:sz w:val="20"/>
      <w:szCs w:val="20"/>
      <w:u w:color="000000"/>
      <w:bdr w:val="nil"/>
      <w:lang w:eastAsia="el-GR"/>
    </w:rPr>
  </w:style>
  <w:style w:type="character" w:styleId="FootnoteReference">
    <w:name w:val="footnote reference"/>
    <w:aliases w:val="BVI fnr,Footnote symbol,Footnote,Footnote Refernece,Fußnotenzeichen_Raxen,callout,Footnote Reference Number,SUPERS,Footnote reference number,Times 10 Point,Exposant 3 Point,EN Footnote Reference,note TESI,Ref,E,S, BVI fnr,number"/>
    <w:basedOn w:val="DefaultParagraphFont"/>
    <w:uiPriority w:val="99"/>
    <w:unhideWhenUsed/>
    <w:rsid w:val="00B35B16"/>
    <w:rPr>
      <w:vertAlign w:val="superscript"/>
    </w:rPr>
  </w:style>
  <w:style w:type="paragraph" w:styleId="HTMLPreformatted">
    <w:name w:val="HTML Preformatted"/>
    <w:basedOn w:val="Normal"/>
    <w:link w:val="HTMLPreformatted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1">
    <w:name w:val="Ανεπίλυτη αναφορά2"/>
    <w:basedOn w:val="DefaultParagraphFont"/>
    <w:uiPriority w:val="99"/>
    <w:semiHidden/>
    <w:unhideWhenUsed/>
    <w:rsid w:val="00B35B16"/>
    <w:rPr>
      <w:color w:val="605E5C"/>
      <w:shd w:val="clear" w:color="auto" w:fill="E1DFDD"/>
    </w:rPr>
  </w:style>
  <w:style w:type="paragraph" w:customStyle="1" w:styleId="Char2">
    <w:name w:val="Char2"/>
    <w:basedOn w:val="Normal"/>
    <w:rsid w:val="00B35B16"/>
    <w:pPr>
      <w:spacing w:line="240" w:lineRule="exact"/>
    </w:pPr>
    <w:rPr>
      <w:rFonts w:ascii="Tahoma" w:eastAsia="Times New Roman" w:hAnsi="Tahoma" w:cs="Times New Roman"/>
      <w:sz w:val="20"/>
      <w:szCs w:val="20"/>
      <w:lang w:val="en-US"/>
    </w:rPr>
  </w:style>
  <w:style w:type="paragraph" w:styleId="BodyTextIndent2">
    <w:name w:val="Body Text Indent 2"/>
    <w:basedOn w:val="Normal"/>
    <w:link w:val="BodyTextIndent2Char"/>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BodyTextIndent2Char">
    <w:name w:val="Body Text Indent 2 Char"/>
    <w:basedOn w:val="DefaultParagraphFont"/>
    <w:link w:val="BodyTextIndent2"/>
    <w:rsid w:val="00B35B16"/>
    <w:rPr>
      <w:rFonts w:ascii="Times New Roman" w:eastAsia="Times New Roman" w:hAnsi="Times New Roman" w:cs="Times New Roman"/>
      <w:sz w:val="24"/>
      <w:szCs w:val="24"/>
      <w:lang w:eastAsia="el-GR"/>
    </w:rPr>
  </w:style>
  <w:style w:type="paragraph" w:styleId="BodyText">
    <w:name w:val="Body Text"/>
    <w:basedOn w:val="Normal"/>
    <w:link w:val="BodyTextChar"/>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BodyTextChar">
    <w:name w:val="Body Text Char"/>
    <w:basedOn w:val="DefaultParagraphFont"/>
    <w:link w:val="BodyText"/>
    <w:rsid w:val="00A75D0A"/>
    <w:rPr>
      <w:rFonts w:ascii="Times New Roman" w:hAnsi="Times New Roman" w:cs="Times New Roman"/>
      <w:bCs/>
      <w:sz w:val="24"/>
      <w:szCs w:val="24"/>
    </w:rPr>
  </w:style>
  <w:style w:type="paragraph" w:styleId="BodyText3">
    <w:name w:val="Body Text 3"/>
    <w:basedOn w:val="Normal"/>
    <w:link w:val="BodyText3Char"/>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BodyText3Char">
    <w:name w:val="Body Text 3 Char"/>
    <w:basedOn w:val="DefaultParagraphFont"/>
    <w:link w:val="BodyText3"/>
    <w:rsid w:val="00B35B16"/>
    <w:rPr>
      <w:rFonts w:ascii="Times New Roman" w:eastAsia="Times New Roman" w:hAnsi="Times New Roman" w:cs="Times New Roman"/>
      <w:b/>
      <w:bCs/>
      <w:sz w:val="24"/>
      <w:szCs w:val="24"/>
      <w:u w:val="single"/>
      <w:lang w:eastAsia="el-GR"/>
    </w:rPr>
  </w:style>
  <w:style w:type="paragraph" w:customStyle="1" w:styleId="13">
    <w:name w:val="Στυλ1"/>
    <w:basedOn w:val="Normal"/>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Normal"/>
    <w:rsid w:val="00B35B16"/>
    <w:pPr>
      <w:spacing w:line="240" w:lineRule="exact"/>
    </w:pPr>
    <w:rPr>
      <w:rFonts w:ascii="Tahoma" w:eastAsia="Times New Roman" w:hAnsi="Tahoma" w:cs="Times New Roman"/>
      <w:sz w:val="20"/>
      <w:szCs w:val="20"/>
      <w:lang w:val="en-US"/>
    </w:rPr>
  </w:style>
  <w:style w:type="paragraph" w:customStyle="1" w:styleId="a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Emphasis">
    <w:name w:val="Emphasis"/>
    <w:uiPriority w:val="20"/>
    <w:qFormat/>
    <w:rsid w:val="00B35B16"/>
    <w:rPr>
      <w:i/>
      <w:iCs/>
    </w:rPr>
  </w:style>
  <w:style w:type="paragraph" w:styleId="BodyText2">
    <w:name w:val="Body Text 2"/>
    <w:basedOn w:val="Normal"/>
    <w:link w:val="BodyText2Char"/>
    <w:rsid w:val="00B35B1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35B16"/>
    <w:rPr>
      <w:rFonts w:ascii="Times New Roman" w:eastAsia="Times New Roman" w:hAnsi="Times New Roman" w:cs="Times New Roman"/>
      <w:sz w:val="24"/>
      <w:szCs w:val="24"/>
      <w:lang w:val="en-GB"/>
    </w:rPr>
  </w:style>
  <w:style w:type="paragraph" w:customStyle="1" w:styleId="Index">
    <w:name w:val="Index"/>
    <w:basedOn w:val="Normal"/>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ListBullet">
    <w:name w:val="List Bullet"/>
    <w:basedOn w:val="Normal"/>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4">
    <w:name w:val="Παράγραφος λίστας1"/>
    <w:basedOn w:val="Normal"/>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Normal"/>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Normal"/>
    <w:rsid w:val="00B35B16"/>
    <w:pPr>
      <w:spacing w:after="120" w:line="240" w:lineRule="auto"/>
      <w:jc w:val="both"/>
    </w:pPr>
    <w:rPr>
      <w:rFonts w:ascii="Tahoma" w:eastAsia="Calibri" w:hAnsi="Tahoma" w:cs="Tahoma"/>
    </w:rPr>
  </w:style>
  <w:style w:type="paragraph" w:styleId="PlainText">
    <w:name w:val="Plain Text"/>
    <w:basedOn w:val="Normal"/>
    <w:link w:val="PlainTextChar"/>
    <w:uiPriority w:val="99"/>
    <w:semiHidden/>
    <w:unhideWhenUsed/>
    <w:rsid w:val="00B35B1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B35B16"/>
    <w:rPr>
      <w:rFonts w:ascii="Consolas" w:eastAsia="Calibri" w:hAnsi="Consolas" w:cs="Times New Roman"/>
      <w:sz w:val="21"/>
      <w:szCs w:val="21"/>
    </w:rPr>
  </w:style>
  <w:style w:type="paragraph" w:styleId="EndnoteText">
    <w:name w:val="endnote text"/>
    <w:basedOn w:val="Normal"/>
    <w:link w:val="EndnoteTextChar"/>
    <w:uiPriority w:val="99"/>
    <w:semiHidden/>
    <w:unhideWhenUsed/>
    <w:rsid w:val="00B35B16"/>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B35B16"/>
    <w:rPr>
      <w:rFonts w:ascii="Calibri" w:eastAsia="Calibri" w:hAnsi="Calibri" w:cs="Times New Roman"/>
      <w:sz w:val="20"/>
      <w:szCs w:val="20"/>
    </w:rPr>
  </w:style>
  <w:style w:type="character" w:styleId="EndnoteReference">
    <w:name w:val="endnote reference"/>
    <w:uiPriority w:val="99"/>
    <w:semiHidden/>
    <w:unhideWhenUsed/>
    <w:rsid w:val="00B35B16"/>
    <w:rPr>
      <w:vertAlign w:val="superscript"/>
    </w:rPr>
  </w:style>
  <w:style w:type="paragraph" w:styleId="Date">
    <w:name w:val="Date"/>
    <w:basedOn w:val="Normal"/>
    <w:next w:val="Normal"/>
    <w:link w:val="DateChar"/>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DateChar">
    <w:name w:val="Date Char"/>
    <w:basedOn w:val="DefaultParagraphFont"/>
    <w:link w:val="Date"/>
    <w:rsid w:val="00B35B16"/>
    <w:rPr>
      <w:rFonts w:ascii="Calibri" w:eastAsia="MS Mincho" w:hAnsi="Calibri" w:cs="Times New Roman"/>
      <w:szCs w:val="24"/>
      <w:lang w:val="en-US" w:eastAsia="ja-JP"/>
    </w:rPr>
  </w:style>
  <w:style w:type="character" w:customStyle="1" w:styleId="22">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NoSpacing">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Normal"/>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Normal"/>
    <w:rsid w:val="00B35B16"/>
    <w:pPr>
      <w:spacing w:line="240" w:lineRule="exact"/>
    </w:pPr>
    <w:rPr>
      <w:rFonts w:ascii="Tahoma" w:eastAsia="Times New Roman" w:hAnsi="Tahoma" w:cs="Times New Roman"/>
      <w:sz w:val="20"/>
      <w:szCs w:val="20"/>
      <w:lang w:val="en-US"/>
    </w:rPr>
  </w:style>
  <w:style w:type="character" w:customStyle="1" w:styleId="a2">
    <w:name w:val="Κανένα"/>
    <w:rsid w:val="00B35B16"/>
  </w:style>
  <w:style w:type="paragraph" w:customStyle="1" w:styleId="yiv1380309479msonormal">
    <w:name w:val="yiv1380309479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0">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1">
    <w:name w:val="Ανεπίλυτη αναφορά3"/>
    <w:basedOn w:val="DefaultParagraphFont"/>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B35B16"/>
  </w:style>
  <w:style w:type="character" w:customStyle="1" w:styleId="spellingerror">
    <w:name w:val="spellingerror"/>
    <w:basedOn w:val="DefaultParagraphFont"/>
    <w:rsid w:val="00B35B16"/>
  </w:style>
  <w:style w:type="character" w:customStyle="1" w:styleId="eop">
    <w:name w:val="eop"/>
    <w:basedOn w:val="DefaultParagraphFont"/>
    <w:rsid w:val="00B35B16"/>
  </w:style>
  <w:style w:type="paragraph" w:customStyle="1" w:styleId="xydp534827f9yiv1814319422msonormal">
    <w:name w:val="x_ydp534827f9yiv1814319422msonormal"/>
    <w:basedOn w:val="Normal"/>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3">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Normal"/>
    <w:rsid w:val="00B35B16"/>
    <w:pPr>
      <w:spacing w:after="0" w:line="240" w:lineRule="auto"/>
    </w:pPr>
    <w:rPr>
      <w:rFonts w:ascii="Times New Roman" w:eastAsia="Calibri" w:hAnsi="Times New Roman" w:cs="Times New Roman"/>
      <w:sz w:val="24"/>
      <w:szCs w:val="24"/>
      <w:lang w:val="en-US"/>
    </w:rPr>
  </w:style>
  <w:style w:type="character" w:customStyle="1" w:styleId="A4">
    <w:name w:val="Κανένα A"/>
    <w:rsid w:val="00B35B16"/>
  </w:style>
  <w:style w:type="paragraph" w:customStyle="1" w:styleId="210">
    <w:name w:val="Σώμα κείμενου 21"/>
    <w:basedOn w:val="Normal"/>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0">
    <w:name w:val="Ανεπίλυτη αναφορά4"/>
    <w:basedOn w:val="DefaultParagraphFont"/>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Normal"/>
    <w:uiPriority w:val="99"/>
    <w:rsid w:val="001E3F9F"/>
    <w:pPr>
      <w:ind w:left="720"/>
      <w:contextualSpacing/>
    </w:pPr>
    <w:rPr>
      <w:rFonts w:ascii="Calibri" w:eastAsia="Times New Roman" w:hAnsi="Calibri" w:cs="Times New Roman"/>
    </w:rPr>
  </w:style>
  <w:style w:type="paragraph" w:customStyle="1" w:styleId="BodyText31">
    <w:name w:val="Body Text 31"/>
    <w:basedOn w:val="Normal"/>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SubtleEmphasis">
    <w:name w:val="Subtle Emphasis"/>
    <w:basedOn w:val="DefaultParagraphFont"/>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FollowedHyperlink">
    <w:name w:val="FollowedHyperlink"/>
    <w:basedOn w:val="DefaultParagraphFont"/>
    <w:uiPriority w:val="99"/>
    <w:semiHidden/>
    <w:unhideWhenUsed/>
    <w:rsid w:val="001E3F9F"/>
    <w:rPr>
      <w:color w:val="954F72" w:themeColor="followedHyperlink"/>
      <w:u w:val="single"/>
    </w:rPr>
  </w:style>
  <w:style w:type="paragraph" w:styleId="Revision">
    <w:name w:val="Revision"/>
    <w:hidden/>
    <w:uiPriority w:val="99"/>
    <w:semiHidden/>
    <w:rsid w:val="001E3F9F"/>
    <w:pPr>
      <w:spacing w:after="0" w:line="240" w:lineRule="auto"/>
    </w:pPr>
    <w:rPr>
      <w:rFonts w:ascii="Arial" w:eastAsia="Arial" w:hAnsi="Arial" w:cs="Arial"/>
    </w:rPr>
  </w:style>
  <w:style w:type="paragraph" w:styleId="TOCHeading">
    <w:name w:val="TOC Heading"/>
    <w:basedOn w:val="Heading1"/>
    <w:next w:val="Normal"/>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63A6F"/>
    <w:pPr>
      <w:widowControl w:val="0"/>
      <w:shd w:val="clear" w:color="auto" w:fill="F2F2F2" w:themeFill="background1" w:themeFillShade="F2"/>
      <w:tabs>
        <w:tab w:val="right" w:leader="dot" w:pos="10327"/>
      </w:tabs>
      <w:autoSpaceDE w:val="0"/>
      <w:autoSpaceDN w:val="0"/>
      <w:spacing w:before="120" w:after="120" w:line="240" w:lineRule="auto"/>
      <w:ind w:left="284" w:hanging="284"/>
    </w:pPr>
    <w:rPr>
      <w:rFonts w:ascii="Arial" w:eastAsia="Arial" w:hAnsi="Arial" w:cs="Arial"/>
      <w:b/>
      <w:bCs/>
      <w:noProof/>
    </w:rPr>
  </w:style>
  <w:style w:type="paragraph" w:styleId="TOC2">
    <w:name w:val="toc 2"/>
    <w:basedOn w:val="Normal"/>
    <w:next w:val="Normal"/>
    <w:autoRedefine/>
    <w:uiPriority w:val="39"/>
    <w:unhideWhenUsed/>
    <w:rsid w:val="001E3F9F"/>
    <w:pPr>
      <w:widowControl w:val="0"/>
      <w:tabs>
        <w:tab w:val="right" w:leader="dot" w:pos="10327"/>
      </w:tabs>
      <w:autoSpaceDE w:val="0"/>
      <w:autoSpaceDN w:val="0"/>
      <w:spacing w:before="360" w:after="360" w:line="240" w:lineRule="auto"/>
      <w:ind w:left="568" w:hanging="284"/>
    </w:pPr>
    <w:rPr>
      <w:rFonts w:ascii="Arial" w:eastAsia="Arial" w:hAnsi="Arial" w:cs="Arial"/>
      <w:bCs/>
      <w:noProof/>
    </w:rPr>
  </w:style>
  <w:style w:type="paragraph" w:customStyle="1" w:styleId="xxmsonormal">
    <w:name w:val="x_xmsonormal"/>
    <w:basedOn w:val="Normal"/>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CommentReference">
    <w:name w:val="annotation reference"/>
    <w:basedOn w:val="DefaultParagraphFont"/>
    <w:uiPriority w:val="99"/>
    <w:semiHidden/>
    <w:unhideWhenUsed/>
    <w:rsid w:val="001E3F9F"/>
    <w:rPr>
      <w:sz w:val="16"/>
      <w:szCs w:val="16"/>
    </w:rPr>
  </w:style>
  <w:style w:type="paragraph" w:styleId="CommentText">
    <w:name w:val="annotation text"/>
    <w:basedOn w:val="Normal"/>
    <w:link w:val="CommentTextChar"/>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1E3F9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F9F"/>
    <w:rPr>
      <w:b/>
      <w:bCs/>
    </w:rPr>
  </w:style>
  <w:style w:type="character" w:customStyle="1" w:styleId="CommentSubjectChar">
    <w:name w:val="Comment Subject Char"/>
    <w:basedOn w:val="CommentTextChar"/>
    <w:link w:val="CommentSubject"/>
    <w:uiPriority w:val="99"/>
    <w:semiHidden/>
    <w:rsid w:val="001E3F9F"/>
    <w:rPr>
      <w:rFonts w:ascii="Arial" w:eastAsia="Arial" w:hAnsi="Arial" w:cs="Arial"/>
      <w:b/>
      <w:bCs/>
      <w:sz w:val="20"/>
      <w:szCs w:val="20"/>
    </w:rPr>
  </w:style>
  <w:style w:type="character" w:customStyle="1" w:styleId="51">
    <w:name w:val="Ανεπίλυτη αναφορά5"/>
    <w:basedOn w:val="DefaultParagraphFont"/>
    <w:uiPriority w:val="99"/>
    <w:semiHidden/>
    <w:unhideWhenUsed/>
    <w:rsid w:val="00D82DE7"/>
    <w:rPr>
      <w:color w:val="605E5C"/>
      <w:shd w:val="clear" w:color="auto" w:fill="E1DFDD"/>
    </w:rPr>
  </w:style>
  <w:style w:type="paragraph" w:styleId="Caption">
    <w:name w:val="caption"/>
    <w:basedOn w:val="Normal"/>
    <w:next w:val="Normal"/>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Normal"/>
    <w:next w:val="Heading4"/>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Normal"/>
    <w:next w:val="Normal"/>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Normal"/>
    <w:rsid w:val="00502C43"/>
    <w:pPr>
      <w:spacing w:line="240" w:lineRule="exact"/>
    </w:pPr>
    <w:rPr>
      <w:rFonts w:ascii="Tahoma" w:eastAsia="Times New Roman" w:hAnsi="Tahoma" w:cs="Times New Roman"/>
      <w:sz w:val="20"/>
      <w:szCs w:val="20"/>
      <w:lang w:val="en-US"/>
    </w:rPr>
  </w:style>
  <w:style w:type="paragraph" w:customStyle="1" w:styleId="style9">
    <w:name w:val="style9"/>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DefaultParagraphFont"/>
    <w:rsid w:val="00502C43"/>
  </w:style>
  <w:style w:type="character" w:customStyle="1" w:styleId="fontstyle52">
    <w:name w:val="fontstyle52"/>
    <w:basedOn w:val="DefaultParagraphFont"/>
    <w:rsid w:val="00502C43"/>
  </w:style>
  <w:style w:type="paragraph" w:customStyle="1" w:styleId="style36">
    <w:name w:val="style36"/>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DefaultParagraphFont"/>
    <w:rsid w:val="00502C43"/>
  </w:style>
  <w:style w:type="paragraph" w:customStyle="1" w:styleId="style33">
    <w:name w:val="style33"/>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DefaultParagraphFont"/>
    <w:rsid w:val="00502C43"/>
  </w:style>
  <w:style w:type="paragraph" w:customStyle="1" w:styleId="style26">
    <w:name w:val="style26"/>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DefaultParagraphFont"/>
    <w:rsid w:val="00502C43"/>
  </w:style>
  <w:style w:type="paragraph" w:customStyle="1" w:styleId="style37">
    <w:name w:val="style37"/>
    <w:basedOn w:val="Normal"/>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Title">
    <w:name w:val="Title"/>
    <w:basedOn w:val="Normal"/>
    <w:link w:val="TitleChar"/>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TitleChar">
    <w:name w:val="Title Char"/>
    <w:basedOn w:val="DefaultParagraphFont"/>
    <w:link w:val="Title"/>
    <w:uiPriority w:val="10"/>
    <w:rsid w:val="00C114D1"/>
    <w:rPr>
      <w:rFonts w:ascii="Arial" w:eastAsia="Arial" w:hAnsi="Arial" w:cs="Arial"/>
      <w:b/>
      <w:bCs/>
      <w:sz w:val="24"/>
      <w:szCs w:val="24"/>
    </w:rPr>
  </w:style>
  <w:style w:type="paragraph" w:customStyle="1" w:styleId="xmsolistparagraph">
    <w:name w:val="x_msolistparagraph"/>
    <w:basedOn w:val="Normal"/>
    <w:rsid w:val="00DC6572"/>
    <w:pPr>
      <w:spacing w:before="100" w:beforeAutospacing="1" w:after="100" w:afterAutospacing="1" w:line="240" w:lineRule="auto"/>
    </w:pPr>
    <w:rPr>
      <w:rFonts w:ascii="Calibri" w:hAnsi="Calibri" w:cs="Calibri"/>
      <w:lang w:eastAsia="el-GR"/>
    </w:rPr>
  </w:style>
  <w:style w:type="table" w:customStyle="1" w:styleId="TableGrid0">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1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21</Pages>
  <Words>5386</Words>
  <Characters>29089</Characters>
  <Application>Microsoft Office Word</Application>
  <DocSecurity>0</DocSecurity>
  <Lines>242</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cp:lastModifiedBy>
  <cp:revision>42</cp:revision>
  <cp:lastPrinted>2022-03-22T13:45:00Z</cp:lastPrinted>
  <dcterms:created xsi:type="dcterms:W3CDTF">2023-04-03T12:26:00Z</dcterms:created>
  <dcterms:modified xsi:type="dcterms:W3CDTF">2023-07-10T09:39:00Z</dcterms:modified>
</cp:coreProperties>
</file>